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F42" w:rsidRPr="00EC5F42" w:rsidRDefault="00EC5F42" w:rsidP="00EC5F42">
      <w:pPr>
        <w:spacing w:line="276" w:lineRule="auto"/>
        <w:jc w:val="both"/>
        <w:rPr>
          <w:rFonts w:cs="Times New Roman"/>
          <w:b/>
          <w:szCs w:val="24"/>
        </w:rPr>
      </w:pPr>
      <w:r w:rsidRPr="00EC5F42">
        <w:rPr>
          <w:rFonts w:cs="Times New Roman"/>
          <w:b/>
          <w:szCs w:val="24"/>
        </w:rPr>
        <w:t xml:space="preserve">Effect of Almond Consumption on Metabolic Risk Factors - Glucose Metabolism, </w:t>
      </w:r>
      <w:proofErr w:type="spellStart"/>
      <w:r w:rsidRPr="00EC5F42">
        <w:rPr>
          <w:rFonts w:cs="Times New Roman"/>
          <w:b/>
          <w:szCs w:val="24"/>
        </w:rPr>
        <w:t>Hyperinsulinemia</w:t>
      </w:r>
      <w:proofErr w:type="spellEnd"/>
      <w:r w:rsidRPr="00EC5F42">
        <w:rPr>
          <w:rFonts w:cs="Times New Roman"/>
          <w:b/>
          <w:szCs w:val="24"/>
        </w:rPr>
        <w:t xml:space="preserve">, Selected Markers of Inflammation: A </w:t>
      </w:r>
      <w:proofErr w:type="spellStart"/>
      <w:r w:rsidRPr="00EC5F42">
        <w:rPr>
          <w:rFonts w:cs="Times New Roman"/>
          <w:b/>
          <w:szCs w:val="24"/>
        </w:rPr>
        <w:t>Randomised</w:t>
      </w:r>
      <w:proofErr w:type="spellEnd"/>
      <w:r w:rsidRPr="00EC5F42">
        <w:rPr>
          <w:rFonts w:cs="Times New Roman"/>
          <w:b/>
          <w:szCs w:val="24"/>
        </w:rPr>
        <w:t xml:space="preserve"> Controlled Trial in Adolescents and Young Adults </w:t>
      </w:r>
    </w:p>
    <w:p w:rsidR="00EC5F42" w:rsidRPr="00EC5F42" w:rsidRDefault="00EC5F42" w:rsidP="00EC5F42">
      <w:pPr>
        <w:spacing w:line="276" w:lineRule="auto"/>
        <w:jc w:val="both"/>
        <w:rPr>
          <w:rFonts w:cs="Times New Roman"/>
          <w:szCs w:val="24"/>
        </w:rPr>
      </w:pPr>
      <w:proofErr w:type="spellStart"/>
      <w:r w:rsidRPr="00EC5F42">
        <w:rPr>
          <w:rFonts w:cs="Times New Roman"/>
          <w:color w:val="000000" w:themeColor="text1"/>
          <w:szCs w:val="24"/>
        </w:rPr>
        <w:t>Jagmeet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Madan</w:t>
      </w:r>
      <w:r w:rsidRPr="00EC5F42">
        <w:rPr>
          <w:rFonts w:cs="Times New Roman"/>
          <w:color w:val="000000" w:themeColor="text1"/>
          <w:szCs w:val="24"/>
          <w:vertAlign w:val="superscript"/>
        </w:rPr>
        <w:t>1</w:t>
      </w:r>
      <w:r w:rsidRPr="00EC5F4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EC5F42">
        <w:rPr>
          <w:rFonts w:cs="Times New Roman"/>
          <w:color w:val="000000" w:themeColor="text1"/>
          <w:szCs w:val="24"/>
        </w:rPr>
        <w:t>Sharvari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Desai</w:t>
      </w:r>
      <w:r w:rsidRPr="00EC5F42">
        <w:rPr>
          <w:rFonts w:cs="Times New Roman"/>
          <w:color w:val="000000" w:themeColor="text1"/>
          <w:szCs w:val="24"/>
          <w:vertAlign w:val="superscript"/>
        </w:rPr>
        <w:t>2</w:t>
      </w:r>
      <w:r w:rsidRPr="00EC5F4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EC5F42">
        <w:rPr>
          <w:rFonts w:cs="Times New Roman"/>
          <w:color w:val="000000" w:themeColor="text1"/>
          <w:szCs w:val="24"/>
        </w:rPr>
        <w:t>Panchali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Moitra</w:t>
      </w:r>
      <w:r w:rsidRPr="00EC5F42">
        <w:rPr>
          <w:rFonts w:cs="Times New Roman"/>
          <w:color w:val="000000" w:themeColor="text1"/>
          <w:szCs w:val="24"/>
          <w:vertAlign w:val="superscript"/>
        </w:rPr>
        <w:t>3</w:t>
      </w:r>
      <w:r w:rsidRPr="00EC5F42">
        <w:rPr>
          <w:rFonts w:cs="Times New Roman"/>
          <w:color w:val="000000" w:themeColor="text1"/>
          <w:szCs w:val="24"/>
        </w:rPr>
        <w:t>, Sheryl Salis</w:t>
      </w:r>
      <w:r w:rsidRPr="00EC5F42">
        <w:rPr>
          <w:rFonts w:cs="Times New Roman"/>
          <w:color w:val="000000" w:themeColor="text1"/>
          <w:szCs w:val="24"/>
          <w:vertAlign w:val="superscript"/>
        </w:rPr>
        <w:t>4</w:t>
      </w:r>
      <w:r w:rsidRPr="00EC5F4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EC5F42">
        <w:rPr>
          <w:rFonts w:cs="Times New Roman"/>
          <w:color w:val="000000" w:themeColor="text1"/>
          <w:szCs w:val="24"/>
        </w:rPr>
        <w:t>Shubhada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Agashe</w:t>
      </w:r>
      <w:r w:rsidRPr="00EC5F42">
        <w:rPr>
          <w:rFonts w:cs="Times New Roman"/>
          <w:color w:val="000000" w:themeColor="text1"/>
          <w:szCs w:val="24"/>
          <w:vertAlign w:val="superscript"/>
        </w:rPr>
        <w:t>5</w:t>
      </w:r>
      <w:r w:rsidRPr="00EC5F4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EC5F42">
        <w:rPr>
          <w:rFonts w:cs="Times New Roman"/>
          <w:color w:val="000000" w:themeColor="text1"/>
          <w:szCs w:val="24"/>
        </w:rPr>
        <w:t>Rekha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Battalwar</w:t>
      </w:r>
      <w:r w:rsidRPr="00EC5F42">
        <w:rPr>
          <w:rFonts w:cs="Times New Roman"/>
          <w:color w:val="000000" w:themeColor="text1"/>
          <w:szCs w:val="24"/>
          <w:vertAlign w:val="superscript"/>
        </w:rPr>
        <w:t>6</w:t>
      </w:r>
      <w:r w:rsidRPr="00EC5F4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EC5F42">
        <w:rPr>
          <w:rFonts w:cs="Times New Roman"/>
          <w:color w:val="000000" w:themeColor="text1"/>
          <w:szCs w:val="24"/>
        </w:rPr>
        <w:t>Anushree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Mehta</w:t>
      </w:r>
      <w:r w:rsidRPr="00EC5F42">
        <w:rPr>
          <w:rFonts w:cs="Times New Roman"/>
          <w:color w:val="000000" w:themeColor="text1"/>
          <w:szCs w:val="24"/>
          <w:vertAlign w:val="superscript"/>
        </w:rPr>
        <w:t>7</w:t>
      </w:r>
      <w:r w:rsidRPr="00EC5F4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EC5F42">
        <w:rPr>
          <w:rFonts w:cs="Times New Roman"/>
          <w:color w:val="000000" w:themeColor="text1"/>
          <w:szCs w:val="24"/>
        </w:rPr>
        <w:t>Rachana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Kamble</w:t>
      </w:r>
      <w:r w:rsidRPr="00EC5F42">
        <w:rPr>
          <w:rFonts w:cs="Times New Roman"/>
          <w:color w:val="000000" w:themeColor="text1"/>
          <w:szCs w:val="24"/>
          <w:vertAlign w:val="superscript"/>
        </w:rPr>
        <w:t>7</w:t>
      </w:r>
      <w:r w:rsidRPr="00EC5F4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EC5F42">
        <w:rPr>
          <w:rFonts w:cs="Times New Roman"/>
          <w:color w:val="000000" w:themeColor="text1"/>
          <w:szCs w:val="24"/>
        </w:rPr>
        <w:t>Soumik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Kalita</w:t>
      </w:r>
      <w:r w:rsidRPr="00EC5F42">
        <w:rPr>
          <w:rFonts w:cs="Times New Roman"/>
          <w:color w:val="000000" w:themeColor="text1"/>
          <w:szCs w:val="24"/>
          <w:vertAlign w:val="superscript"/>
        </w:rPr>
        <w:t>8</w:t>
      </w:r>
      <w:r w:rsidRPr="00EC5F42">
        <w:rPr>
          <w:rFonts w:cs="Times New Roman"/>
          <w:color w:val="000000" w:themeColor="text1"/>
          <w:szCs w:val="24"/>
        </w:rPr>
        <w:t>, Ajay Phatak</w:t>
      </w:r>
      <w:r w:rsidRPr="00EC5F42">
        <w:rPr>
          <w:rFonts w:cs="Times New Roman"/>
          <w:color w:val="000000" w:themeColor="text1"/>
          <w:szCs w:val="24"/>
          <w:vertAlign w:val="superscript"/>
        </w:rPr>
        <w:t>9</w:t>
      </w:r>
      <w:r w:rsidRPr="00EC5F4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EC5F42">
        <w:rPr>
          <w:rFonts w:cs="Times New Roman"/>
          <w:color w:val="000000" w:themeColor="text1"/>
          <w:szCs w:val="24"/>
        </w:rPr>
        <w:t>Shobha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Udipi</w:t>
      </w:r>
      <w:r w:rsidRPr="00EC5F42">
        <w:rPr>
          <w:rFonts w:cs="Times New Roman"/>
          <w:color w:val="000000" w:themeColor="text1"/>
          <w:szCs w:val="24"/>
          <w:vertAlign w:val="superscript"/>
        </w:rPr>
        <w:t>10</w:t>
      </w:r>
      <w:r w:rsidRPr="00EC5F42">
        <w:rPr>
          <w:rFonts w:cs="Times New Roman"/>
          <w:color w:val="000000" w:themeColor="text1"/>
          <w:szCs w:val="24"/>
        </w:rPr>
        <w:t>, Rama A. Vaidya</w:t>
      </w:r>
      <w:r w:rsidRPr="00EC5F42">
        <w:rPr>
          <w:rFonts w:cs="Times New Roman"/>
          <w:color w:val="000000" w:themeColor="text1"/>
          <w:szCs w:val="24"/>
          <w:vertAlign w:val="superscript"/>
        </w:rPr>
        <w:t>11</w:t>
      </w:r>
      <w:r w:rsidRPr="00EC5F42">
        <w:rPr>
          <w:rFonts w:cs="Times New Roman"/>
          <w:color w:val="000000" w:themeColor="text1"/>
          <w:szCs w:val="24"/>
        </w:rPr>
        <w:t xml:space="preserve">, Ashok B. </w:t>
      </w:r>
      <w:proofErr w:type="spellStart"/>
      <w:r w:rsidRPr="00EC5F42">
        <w:rPr>
          <w:rFonts w:cs="Times New Roman"/>
          <w:color w:val="000000" w:themeColor="text1"/>
          <w:szCs w:val="24"/>
        </w:rPr>
        <w:t>Vaidya</w:t>
      </w:r>
      <w:proofErr w:type="spellEnd"/>
      <w:r w:rsidRPr="00EC5F42">
        <w:rPr>
          <w:rFonts w:cs="Times New Roman"/>
          <w:color w:val="000000" w:themeColor="text1"/>
          <w:szCs w:val="24"/>
        </w:rPr>
        <w:t xml:space="preserve"> </w:t>
      </w:r>
      <w:r w:rsidRPr="00EC5F42">
        <w:rPr>
          <w:rFonts w:cs="Times New Roman"/>
          <w:color w:val="000000" w:themeColor="text1"/>
          <w:szCs w:val="24"/>
          <w:vertAlign w:val="superscript"/>
        </w:rPr>
        <w:t>12</w:t>
      </w:r>
      <w:r w:rsidRPr="00EC5F42">
        <w:rPr>
          <w:rFonts w:cs="Times New Roman"/>
          <w:szCs w:val="24"/>
        </w:rPr>
        <w:t>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 xml:space="preserve">Principal Investigator, Professor and Principal, Sir </w:t>
      </w:r>
      <w:proofErr w:type="spellStart"/>
      <w:r w:rsidRPr="00EC5F42">
        <w:t>Vithaldas</w:t>
      </w:r>
      <w:proofErr w:type="spellEnd"/>
      <w:r w:rsidRPr="00EC5F42">
        <w:t xml:space="preserve"> </w:t>
      </w:r>
      <w:proofErr w:type="spellStart"/>
      <w:r w:rsidRPr="00EC5F42">
        <w:t>Thackersey</w:t>
      </w:r>
      <w:proofErr w:type="spellEnd"/>
      <w:r w:rsidRPr="00EC5F42">
        <w:t xml:space="preserve"> College of Home Science (Autonomous), SNDT Women’s University, Mumbai.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 xml:space="preserve">Data Quality Manager, PhD Food Science and Nutrition, Sir </w:t>
      </w:r>
      <w:proofErr w:type="spellStart"/>
      <w:r w:rsidRPr="00EC5F42">
        <w:t>Vithaldas</w:t>
      </w:r>
      <w:proofErr w:type="spellEnd"/>
      <w:r w:rsidRPr="00EC5F42">
        <w:t xml:space="preserve"> </w:t>
      </w:r>
      <w:proofErr w:type="spellStart"/>
      <w:r w:rsidRPr="00EC5F42">
        <w:t>Thackersey</w:t>
      </w:r>
      <w:proofErr w:type="spellEnd"/>
      <w:r w:rsidRPr="00EC5F42">
        <w:t xml:space="preserve">   College of Home Science (Autonomous), SNDT Women’s University, Mumbai.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 xml:space="preserve">Assistant Professor and Study Coordinator, Sir </w:t>
      </w:r>
      <w:proofErr w:type="spellStart"/>
      <w:r w:rsidRPr="00EC5F42">
        <w:t>Vithaldas</w:t>
      </w:r>
      <w:proofErr w:type="spellEnd"/>
      <w:r w:rsidRPr="00EC5F42">
        <w:t xml:space="preserve"> </w:t>
      </w:r>
      <w:proofErr w:type="spellStart"/>
      <w:r w:rsidRPr="00EC5F42">
        <w:t>Thackersey</w:t>
      </w:r>
      <w:proofErr w:type="spellEnd"/>
      <w:r w:rsidRPr="00EC5F42">
        <w:t xml:space="preserve"> College of Home Science (Autonomous), SNDT Women’s University, Mumbai.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>Nutritionist and Co Investigator, Nurture Health Solutions, Mumbai.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>Assistant Director, Clinical and Endocrine Laboratory, Kasturba Health Society Medical Research Centre, Mumbai.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 xml:space="preserve">Associate Professor and Study Coordinator, Sir </w:t>
      </w:r>
      <w:proofErr w:type="spellStart"/>
      <w:r w:rsidRPr="00EC5F42">
        <w:t>Vithaldas</w:t>
      </w:r>
      <w:proofErr w:type="spellEnd"/>
      <w:r w:rsidRPr="00EC5F42">
        <w:t xml:space="preserve"> </w:t>
      </w:r>
      <w:proofErr w:type="spellStart"/>
      <w:r w:rsidRPr="00EC5F42">
        <w:t>Thackersey</w:t>
      </w:r>
      <w:proofErr w:type="spellEnd"/>
      <w:r w:rsidRPr="00EC5F42">
        <w:t xml:space="preserve"> College of Home Science (Autonomous), SNDT Women’s University, Mumbai.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>Supervising Physician, Kasturba Health Society Medical Research Centre, Mumbai.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 xml:space="preserve">Co-Principal Investigator, CEO, FamPhy: Gurgaon, Haryana. 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 xml:space="preserve">Consultant Statistician, Professor Bio-Statistics, Adjunct Professor of Public Health, </w:t>
      </w:r>
      <w:proofErr w:type="spellStart"/>
      <w:r w:rsidRPr="00EC5F42">
        <w:t>Charutar</w:t>
      </w:r>
      <w:proofErr w:type="spellEnd"/>
      <w:r w:rsidRPr="00EC5F42">
        <w:t xml:space="preserve"> </w:t>
      </w:r>
      <w:proofErr w:type="spellStart"/>
      <w:r w:rsidRPr="00EC5F42">
        <w:t>Arogya</w:t>
      </w:r>
      <w:proofErr w:type="spellEnd"/>
      <w:r w:rsidRPr="00EC5F42">
        <w:t xml:space="preserve"> </w:t>
      </w:r>
      <w:proofErr w:type="spellStart"/>
      <w:r w:rsidRPr="00EC5F42">
        <w:t>Mandal</w:t>
      </w:r>
      <w:proofErr w:type="spellEnd"/>
      <w:r w:rsidRPr="00EC5F42">
        <w:t xml:space="preserve">, </w:t>
      </w:r>
      <w:proofErr w:type="spellStart"/>
      <w:r w:rsidRPr="00EC5F42">
        <w:t>Karamsad</w:t>
      </w:r>
      <w:proofErr w:type="spellEnd"/>
      <w:r w:rsidRPr="00EC5F42">
        <w:t>, Gujarat.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 xml:space="preserve">Co-Principal Investigator, Hon Director, Integrative Nutrition and </w:t>
      </w:r>
      <w:proofErr w:type="spellStart"/>
      <w:r w:rsidRPr="00EC5F42">
        <w:t>Ayurceuticals</w:t>
      </w:r>
      <w:proofErr w:type="spellEnd"/>
      <w:r w:rsidRPr="00EC5F42">
        <w:t>, Kasturba Health Society Medical Research Centre, Mumbai and Visiting Professor, Department of Food Science and Nutrition, SNDT Women’s University, Mumbai.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>Co-Principal Investigator, and Hon Director, Division of Endocrine &amp; Metabolic Disorders, Kasturba Health Society Medical Research Centre, Mumbai.</w:t>
      </w:r>
    </w:p>
    <w:p w:rsidR="00EC5F42" w:rsidRPr="00EC5F42" w:rsidRDefault="00EC5F42" w:rsidP="00EC5F42">
      <w:pPr>
        <w:pStyle w:val="ListParagraph"/>
        <w:numPr>
          <w:ilvl w:val="0"/>
          <w:numId w:val="2"/>
        </w:numPr>
        <w:spacing w:before="0" w:after="160" w:line="259" w:lineRule="auto"/>
      </w:pPr>
      <w:r w:rsidRPr="00EC5F42">
        <w:t>Research Director and Mentor - Kasturba Health Society Medical Research Centre, Mumbai.</w:t>
      </w:r>
    </w:p>
    <w:p w:rsidR="00EC5F42" w:rsidRPr="00EC5F42" w:rsidRDefault="00EC5F42" w:rsidP="00EC5F42">
      <w:pPr>
        <w:spacing w:before="240" w:after="0"/>
        <w:rPr>
          <w:rFonts w:cs="Times New Roman"/>
          <w:szCs w:val="24"/>
        </w:rPr>
      </w:pPr>
      <w:r w:rsidRPr="00EC5F42">
        <w:rPr>
          <w:rFonts w:cs="Times New Roman"/>
          <w:b/>
          <w:szCs w:val="24"/>
        </w:rPr>
        <w:t xml:space="preserve">* Correspondence: </w:t>
      </w:r>
      <w:r w:rsidRPr="00EC5F42">
        <w:rPr>
          <w:rFonts w:cs="Times New Roman"/>
          <w:b/>
          <w:szCs w:val="24"/>
        </w:rPr>
        <w:br/>
      </w:r>
      <w:r w:rsidRPr="00EC5F42">
        <w:rPr>
          <w:rFonts w:cs="Times New Roman"/>
          <w:szCs w:val="24"/>
        </w:rPr>
        <w:t>Corresponding Author</w:t>
      </w:r>
    </w:p>
    <w:p w:rsidR="00EC5F42" w:rsidRPr="00EC5F42" w:rsidRDefault="00EC5F42" w:rsidP="00EC5F42">
      <w:pPr>
        <w:spacing w:before="240" w:after="0"/>
        <w:rPr>
          <w:rFonts w:cs="Times New Roman"/>
          <w:b/>
          <w:szCs w:val="24"/>
        </w:rPr>
      </w:pPr>
      <w:proofErr w:type="spellStart"/>
      <w:r w:rsidRPr="00EC5F42">
        <w:rPr>
          <w:rFonts w:cs="Times New Roman"/>
          <w:szCs w:val="24"/>
        </w:rPr>
        <w:t>Soumik</w:t>
      </w:r>
      <w:proofErr w:type="spellEnd"/>
      <w:r w:rsidRPr="00EC5F42">
        <w:rPr>
          <w:rFonts w:cs="Times New Roman"/>
          <w:szCs w:val="24"/>
        </w:rPr>
        <w:t xml:space="preserve"> </w:t>
      </w:r>
      <w:proofErr w:type="spellStart"/>
      <w:r w:rsidRPr="00EC5F42">
        <w:rPr>
          <w:rFonts w:cs="Times New Roman"/>
          <w:szCs w:val="24"/>
        </w:rPr>
        <w:t>Kalita</w:t>
      </w:r>
      <w:proofErr w:type="spellEnd"/>
      <w:r w:rsidRPr="00EC5F42">
        <w:rPr>
          <w:rFonts w:cs="Times New Roman"/>
          <w:szCs w:val="24"/>
        </w:rPr>
        <w:br/>
        <w:t>soumik.kalita@famphy.com</w:t>
      </w:r>
    </w:p>
    <w:p w:rsidR="00EC5F42" w:rsidRPr="00EC5F42" w:rsidRDefault="00EC5F42" w:rsidP="00EC5F42">
      <w:pPr>
        <w:spacing w:line="360" w:lineRule="auto"/>
        <w:jc w:val="both"/>
        <w:rPr>
          <w:rFonts w:cs="Times New Roman"/>
          <w:color w:val="000000" w:themeColor="text1"/>
          <w:szCs w:val="24"/>
          <w:vertAlign w:val="subscript"/>
        </w:rPr>
      </w:pPr>
      <w:r w:rsidRPr="00EC5F42">
        <w:t xml:space="preserve">Keywords: </w:t>
      </w:r>
      <w:r w:rsidRPr="00EC5F42">
        <w:rPr>
          <w:rFonts w:cs="Times New Roman"/>
          <w:color w:val="000000" w:themeColor="text1"/>
          <w:szCs w:val="24"/>
        </w:rPr>
        <w:t>Almonds</w:t>
      </w:r>
      <w:bookmarkStart w:id="0" w:name="_GoBack"/>
      <w:bookmarkEnd w:id="0"/>
      <w:r w:rsidRPr="00EC5F42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EC5F42">
        <w:rPr>
          <w:rFonts w:cs="Times New Roman"/>
          <w:color w:val="000000" w:themeColor="text1"/>
          <w:szCs w:val="24"/>
        </w:rPr>
        <w:t>Prediabetes</w:t>
      </w:r>
      <w:proofErr w:type="spellEnd"/>
      <w:r w:rsidRPr="00EC5F42">
        <w:rPr>
          <w:rFonts w:cs="Times New Roman"/>
          <w:color w:val="000000" w:themeColor="text1"/>
          <w:szCs w:val="24"/>
        </w:rPr>
        <w:t>, IL-6</w:t>
      </w:r>
      <w:r w:rsidRPr="00EC5F42">
        <w:rPr>
          <w:rFonts w:cs="Times New Roman"/>
          <w:color w:val="000000" w:themeColor="text1"/>
          <w:szCs w:val="24"/>
          <w:vertAlign w:val="subscript"/>
        </w:rPr>
        <w:t>3</w:t>
      </w:r>
      <w:r w:rsidRPr="00EC5F42">
        <w:rPr>
          <w:rFonts w:cs="Times New Roman"/>
          <w:color w:val="000000" w:themeColor="text1"/>
          <w:szCs w:val="24"/>
        </w:rPr>
        <w:t>, LDL-c, HbA1c</w:t>
      </w:r>
    </w:p>
    <w:p w:rsidR="00EC5F42" w:rsidRPr="00EC5F42" w:rsidRDefault="00EC5F42" w:rsidP="00EC5F42">
      <w:pPr>
        <w:pStyle w:val="AuthorList"/>
      </w:pPr>
      <w:r w:rsidRPr="00EC5F42">
        <w:t>Abstract</w:t>
      </w:r>
    </w:p>
    <w:p w:rsidR="00EC5F42" w:rsidRPr="00EC5F42" w:rsidRDefault="00EC5F42" w:rsidP="00EC5F42">
      <w:pPr>
        <w:spacing w:line="360" w:lineRule="auto"/>
        <w:jc w:val="both"/>
        <w:rPr>
          <w:rFonts w:cs="Times New Roman"/>
          <w:szCs w:val="24"/>
        </w:rPr>
      </w:pPr>
      <w:r w:rsidRPr="00EC5F42">
        <w:rPr>
          <w:rFonts w:cs="Times New Roman"/>
          <w:szCs w:val="24"/>
        </w:rPr>
        <w:t xml:space="preserve">A large percentage of the Indian population has diabetes or is at risk of pre-diabetes. Almond consumption has shown benefits on </w:t>
      </w:r>
      <w:proofErr w:type="spellStart"/>
      <w:r w:rsidRPr="00EC5F42">
        <w:rPr>
          <w:rFonts w:cs="Times New Roman"/>
          <w:szCs w:val="24"/>
        </w:rPr>
        <w:t>cardiometabolic</w:t>
      </w:r>
      <w:proofErr w:type="spellEnd"/>
      <w:r w:rsidRPr="00EC5F42">
        <w:rPr>
          <w:rFonts w:cs="Times New Roman"/>
          <w:szCs w:val="24"/>
        </w:rPr>
        <w:t xml:space="preserve"> risk factors in adults. This study explored the effect of almond consumption on determinants of metabolic dysfunction - blood glucose, lipids, insulin and selected inflammatory markers in adolescents and young adults aged 16-25 years from Mumbai city. This randomized controlled trial was conducted for a </w:t>
      </w:r>
      <w:r w:rsidRPr="00EC5F42">
        <w:rPr>
          <w:rFonts w:cs="Times New Roman"/>
          <w:szCs w:val="24"/>
        </w:rPr>
        <w:lastRenderedPageBreak/>
        <w:t>period of 90 days on individuals with impaired levels of fasting glucose levels between 100-125mg/</w:t>
      </w:r>
      <w:proofErr w:type="spellStart"/>
      <w:r w:rsidRPr="00EC5F42">
        <w:rPr>
          <w:rFonts w:cs="Times New Roman"/>
          <w:szCs w:val="24"/>
        </w:rPr>
        <w:t>dL</w:t>
      </w:r>
      <w:proofErr w:type="spellEnd"/>
      <w:r w:rsidRPr="00EC5F42">
        <w:rPr>
          <w:rFonts w:cs="Times New Roman"/>
          <w:szCs w:val="24"/>
        </w:rPr>
        <w:t xml:space="preserve"> (5.6-6.9 </w:t>
      </w:r>
      <w:proofErr w:type="spellStart"/>
      <w:r w:rsidRPr="00EC5F42">
        <w:rPr>
          <w:rFonts w:cs="Times New Roman"/>
          <w:szCs w:val="24"/>
        </w:rPr>
        <w:t>mmol</w:t>
      </w:r>
      <w:proofErr w:type="spellEnd"/>
      <w:r w:rsidRPr="00EC5F42">
        <w:rPr>
          <w:rFonts w:cs="Times New Roman"/>
          <w:szCs w:val="24"/>
        </w:rPr>
        <w:t>/L) and 2-hour post-glucose value 140-199 mg/</w:t>
      </w:r>
      <w:proofErr w:type="spellStart"/>
      <w:r w:rsidRPr="00EC5F42">
        <w:rPr>
          <w:rFonts w:cs="Times New Roman"/>
          <w:szCs w:val="24"/>
        </w:rPr>
        <w:t>dL</w:t>
      </w:r>
      <w:proofErr w:type="spellEnd"/>
      <w:r w:rsidRPr="00EC5F42">
        <w:rPr>
          <w:rFonts w:cs="Times New Roman"/>
          <w:szCs w:val="24"/>
        </w:rPr>
        <w:t xml:space="preserve"> (7.8-11.0 </w:t>
      </w:r>
      <w:proofErr w:type="spellStart"/>
      <w:r w:rsidRPr="00EC5F42">
        <w:rPr>
          <w:rFonts w:cs="Times New Roman"/>
          <w:szCs w:val="24"/>
        </w:rPr>
        <w:t>mmol</w:t>
      </w:r>
      <w:proofErr w:type="spellEnd"/>
      <w:r w:rsidRPr="00EC5F42">
        <w:rPr>
          <w:rFonts w:cs="Times New Roman"/>
          <w:szCs w:val="24"/>
        </w:rPr>
        <w:t xml:space="preserve">/L) and /or insulin (fasting insulin (≥15mIU/ ml) /stimulated insulin (≥80mIU/ml). Of 1313 individuals screened, 421 met the inclusion criteria, of which 275 consented to participate and 219 completed the trial. The trial was registered with Clinical Trials Registry India (CTRI) CTRI/2018/02/011927. The almonds group (n=107) consumed 56g almonds daily, the control group (n=112) was provided an </w:t>
      </w:r>
      <w:proofErr w:type="spellStart"/>
      <w:r w:rsidRPr="00EC5F42">
        <w:rPr>
          <w:rFonts w:cs="Times New Roman"/>
          <w:szCs w:val="24"/>
        </w:rPr>
        <w:t>iso</w:t>
      </w:r>
      <w:proofErr w:type="spellEnd"/>
      <w:r w:rsidRPr="00EC5F42">
        <w:rPr>
          <w:rFonts w:cs="Times New Roman"/>
          <w:szCs w:val="24"/>
        </w:rPr>
        <w:t xml:space="preserve">-caloric cereal-pulse based snack. At baseline and </w:t>
      </w:r>
      <w:proofErr w:type="spellStart"/>
      <w:r w:rsidRPr="00EC5F42">
        <w:rPr>
          <w:rFonts w:cs="Times New Roman"/>
          <w:szCs w:val="24"/>
        </w:rPr>
        <w:t>endline</w:t>
      </w:r>
      <w:proofErr w:type="spellEnd"/>
      <w:r w:rsidRPr="00EC5F42">
        <w:rPr>
          <w:rFonts w:cs="Times New Roman"/>
          <w:szCs w:val="24"/>
        </w:rPr>
        <w:t>, blood glucose, insulin, HbA</w:t>
      </w:r>
      <w:r w:rsidRPr="00EC5F42">
        <w:rPr>
          <w:rFonts w:cs="Times New Roman"/>
          <w:szCs w:val="24"/>
          <w:vertAlign w:val="subscript"/>
        </w:rPr>
        <w:t>1</w:t>
      </w:r>
      <w:r w:rsidRPr="00EC5F42">
        <w:rPr>
          <w:rFonts w:cs="Times New Roman"/>
          <w:szCs w:val="24"/>
        </w:rPr>
        <w:t>c, LDL-c, HDL-c, total and ox</w:t>
      </w:r>
      <w:r w:rsidRPr="00EC5F42">
        <w:rPr>
          <w:rFonts w:ascii="Cambria Math" w:hAnsi="Cambria Math" w:cs="Cambria Math"/>
          <w:szCs w:val="24"/>
        </w:rPr>
        <w:t>‐</w:t>
      </w:r>
      <w:r w:rsidRPr="00EC5F42">
        <w:rPr>
          <w:rFonts w:cs="Times New Roman"/>
          <w:szCs w:val="24"/>
        </w:rPr>
        <w:t xml:space="preserve">cholesterol, triglycerides, </w:t>
      </w:r>
      <w:proofErr w:type="spellStart"/>
      <w:r w:rsidRPr="00EC5F42">
        <w:rPr>
          <w:rFonts w:cs="Times New Roman"/>
          <w:szCs w:val="24"/>
        </w:rPr>
        <w:t>hs</w:t>
      </w:r>
      <w:proofErr w:type="spellEnd"/>
      <w:r w:rsidRPr="00EC5F42">
        <w:rPr>
          <w:rFonts w:cs="Times New Roman"/>
          <w:szCs w:val="24"/>
        </w:rPr>
        <w:t xml:space="preserve">-CRP, IL-6, TNF-α, </w:t>
      </w:r>
      <w:proofErr w:type="spellStart"/>
      <w:r w:rsidRPr="00EC5F42">
        <w:rPr>
          <w:rFonts w:cs="Times New Roman"/>
          <w:szCs w:val="24"/>
        </w:rPr>
        <w:t>adiponectin</w:t>
      </w:r>
      <w:proofErr w:type="spellEnd"/>
      <w:r w:rsidRPr="00EC5F42">
        <w:rPr>
          <w:rFonts w:cs="Times New Roman"/>
          <w:szCs w:val="24"/>
        </w:rPr>
        <w:t xml:space="preserve">, </w:t>
      </w:r>
      <w:proofErr w:type="spellStart"/>
      <w:r w:rsidRPr="00EC5F42">
        <w:rPr>
          <w:rFonts w:cs="Times New Roman"/>
          <w:szCs w:val="24"/>
        </w:rPr>
        <w:t>leptin</w:t>
      </w:r>
      <w:proofErr w:type="spellEnd"/>
      <w:r w:rsidRPr="00EC5F42">
        <w:rPr>
          <w:rFonts w:cs="Times New Roman"/>
          <w:szCs w:val="24"/>
        </w:rPr>
        <w:t xml:space="preserve"> were measured and HOMA-IR and FG:FI ratios were calculated. Dietary intakes were assessed.</w:t>
      </w:r>
    </w:p>
    <w:p w:rsidR="00EC5F42" w:rsidRPr="0074787E" w:rsidRDefault="00EC5F42" w:rsidP="00EC5F42">
      <w:pPr>
        <w:spacing w:line="360" w:lineRule="auto"/>
        <w:jc w:val="both"/>
        <w:rPr>
          <w:rFonts w:cs="Times New Roman"/>
          <w:szCs w:val="24"/>
        </w:rPr>
      </w:pPr>
      <w:r w:rsidRPr="00EC5F42">
        <w:rPr>
          <w:rFonts w:cs="Times New Roman"/>
          <w:szCs w:val="24"/>
        </w:rPr>
        <w:t>The anthropometric measurements, biochemical markers as well as macronutrient intakes did not differ significantly between the two groups at baseline. Almond consumption significantly decreased HbA</w:t>
      </w:r>
      <w:r w:rsidRPr="00EC5F42">
        <w:rPr>
          <w:rFonts w:cs="Times New Roman"/>
          <w:szCs w:val="24"/>
          <w:vertAlign w:val="subscript"/>
        </w:rPr>
        <w:t>1</w:t>
      </w:r>
      <w:r w:rsidRPr="00EC5F42">
        <w:rPr>
          <w:rFonts w:cs="Times New Roman"/>
          <w:szCs w:val="24"/>
        </w:rPr>
        <w:t>c, total cholesterol and LDL-c. Stimulated insulin decreased post-intervention in both groups, but the decrease was greater in the almonds group. Fasting glucose was reduced post intervention in the controls with no change in the almonds group. FG</w:t>
      </w:r>
      <w:proofErr w:type="gramStart"/>
      <w:r w:rsidRPr="00EC5F42">
        <w:rPr>
          <w:rFonts w:cs="Times New Roman"/>
          <w:szCs w:val="24"/>
        </w:rPr>
        <w:t>:FI</w:t>
      </w:r>
      <w:proofErr w:type="gramEnd"/>
      <w:r w:rsidRPr="00EC5F42">
        <w:rPr>
          <w:rFonts w:cs="Times New Roman"/>
          <w:szCs w:val="24"/>
        </w:rPr>
        <w:t xml:space="preserve"> ratio decreased in the almonds group. TNF-</w:t>
      </w:r>
      <w:proofErr w:type="gramStart"/>
      <w:r w:rsidRPr="00EC5F42">
        <w:rPr>
          <w:rFonts w:cs="Times New Roman"/>
          <w:szCs w:val="24"/>
        </w:rPr>
        <w:t>α and</w:t>
      </w:r>
      <w:proofErr w:type="gramEnd"/>
      <w:r w:rsidRPr="00EC5F42">
        <w:rPr>
          <w:rFonts w:cs="Times New Roman"/>
          <w:szCs w:val="24"/>
        </w:rPr>
        <w:t xml:space="preserve"> IL-6 decreased in the almonds group, while it increased in the control group. Our results showed that almonds reduced HbA1c, LDL-c and total cholesterol levels in just 12 weeks of consumption in these adolescents and young adults who</w:t>
      </w:r>
      <w:r w:rsidRPr="00EC5F42">
        <w:rPr>
          <w:rFonts w:cs="Times New Roman"/>
          <w:color w:val="000000" w:themeColor="text1"/>
          <w:szCs w:val="24"/>
        </w:rPr>
        <w:t xml:space="preserve"> were at risk for developing diabetes. Almonds can be considered as part of food-based strategies for preventing pre-diabetes.</w:t>
      </w:r>
    </w:p>
    <w:p w:rsidR="006D70F3" w:rsidRDefault="006D70F3"/>
    <w:sectPr w:rsidR="006D70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41E8"/>
    <w:multiLevelType w:val="hybridMultilevel"/>
    <w:tmpl w:val="97449B6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F42"/>
    <w:rsid w:val="00280C67"/>
    <w:rsid w:val="006D70F3"/>
    <w:rsid w:val="00EC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42"/>
    <w:pPr>
      <w:spacing w:before="120" w:after="240" w:line="240" w:lineRule="auto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F42"/>
    <w:pPr>
      <w:numPr>
        <w:numId w:val="1"/>
      </w:numPr>
      <w:ind w:left="1434" w:hanging="357"/>
      <w:contextualSpacing/>
    </w:pPr>
    <w:rPr>
      <w:rFonts w:eastAsia="Cambria" w:cs="Times New Roman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EC5F42"/>
    <w:pPr>
      <w:numPr>
        <w:ilvl w:val="0"/>
      </w:numPr>
      <w:spacing w:before="240"/>
    </w:pPr>
    <w:rPr>
      <w:rFonts w:ascii="Times New Roman" w:eastAsiaTheme="minorHAnsi" w:hAnsi="Times New Roman" w:cs="Times New Roman"/>
      <w:b/>
      <w:i w:val="0"/>
      <w:iCs w:val="0"/>
      <w:color w:val="auto"/>
      <w:spacing w:val="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F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C5F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42"/>
    <w:pPr>
      <w:spacing w:before="120" w:after="240" w:line="240" w:lineRule="auto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F42"/>
    <w:pPr>
      <w:numPr>
        <w:numId w:val="1"/>
      </w:numPr>
      <w:ind w:left="1434" w:hanging="357"/>
      <w:contextualSpacing/>
    </w:pPr>
    <w:rPr>
      <w:rFonts w:eastAsia="Cambria" w:cs="Times New Roman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EC5F42"/>
    <w:pPr>
      <w:numPr>
        <w:ilvl w:val="0"/>
      </w:numPr>
      <w:spacing w:before="240"/>
    </w:pPr>
    <w:rPr>
      <w:rFonts w:ascii="Times New Roman" w:eastAsiaTheme="minorHAnsi" w:hAnsi="Times New Roman" w:cs="Times New Roman"/>
      <w:b/>
      <w:i w:val="0"/>
      <w:iCs w:val="0"/>
      <w:color w:val="auto"/>
      <w:spacing w:val="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F4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C5F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Soumik Kalita</dc:creator>
  <cp:lastModifiedBy>Soumik Kalita</cp:lastModifiedBy>
  <cp:revision>2</cp:revision>
  <dcterms:created xsi:type="dcterms:W3CDTF">2021-09-10T19:14:00Z</dcterms:created>
  <dcterms:modified xsi:type="dcterms:W3CDTF">2021-09-10T19:16:00Z</dcterms:modified>
</cp:coreProperties>
</file>