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9CA20" w14:textId="77777777" w:rsidR="00825E56" w:rsidRPr="00825E56" w:rsidRDefault="00825E56" w:rsidP="00825E56">
      <w:pPr>
        <w:spacing w:after="0" w:line="240" w:lineRule="auto"/>
        <w:rPr>
          <w:rFonts w:ascii="Calibri" w:hAnsi="Calibri" w:cs="Calibri"/>
          <w:b/>
          <w:bCs/>
          <w:sz w:val="36"/>
          <w:szCs w:val="36"/>
        </w:rPr>
      </w:pPr>
      <w:r w:rsidRPr="00825E56">
        <w:rPr>
          <w:rFonts w:ascii="Calibri" w:hAnsi="Calibri" w:cs="Calibri"/>
          <w:b/>
          <w:bCs/>
          <w:sz w:val="36"/>
          <w:szCs w:val="36"/>
        </w:rPr>
        <w:t>Abstract</w:t>
      </w:r>
    </w:p>
    <w:p w14:paraId="094BD32B" w14:textId="77777777" w:rsidR="00825E56" w:rsidRPr="00825E56" w:rsidRDefault="00825E56" w:rsidP="00825E56">
      <w:pPr>
        <w:spacing w:after="0" w:line="240" w:lineRule="auto"/>
        <w:rPr>
          <w:rFonts w:ascii="Calibri" w:hAnsi="Calibri" w:cs="Calibri"/>
          <w:b/>
          <w:bCs/>
          <w:sz w:val="36"/>
          <w:szCs w:val="36"/>
        </w:rPr>
      </w:pPr>
      <w:r w:rsidRPr="00825E56">
        <w:rPr>
          <w:rFonts w:ascii="Calibri" w:hAnsi="Calibri" w:cs="Calibri"/>
          <w:b/>
          <w:bCs/>
          <w:sz w:val="36"/>
          <w:szCs w:val="36"/>
        </w:rPr>
        <w:t xml:space="preserve">This oral presentation summarises the immunology relevant to the brain, including its role in synaptic pruning. Thereafter, patterns of pruning are described including aberrant patterns associated with schizophrenia bipolar disorder, major depression, </w:t>
      </w:r>
      <w:proofErr w:type="gramStart"/>
      <w:r w:rsidRPr="00825E56">
        <w:rPr>
          <w:rFonts w:ascii="Calibri" w:hAnsi="Calibri" w:cs="Calibri"/>
          <w:b/>
          <w:bCs/>
          <w:sz w:val="36"/>
          <w:szCs w:val="36"/>
        </w:rPr>
        <w:t>ADHD</w:t>
      </w:r>
      <w:proofErr w:type="gramEnd"/>
      <w:r w:rsidRPr="00825E56">
        <w:rPr>
          <w:rFonts w:ascii="Calibri" w:hAnsi="Calibri" w:cs="Calibri"/>
          <w:b/>
          <w:bCs/>
          <w:sz w:val="36"/>
          <w:szCs w:val="36"/>
        </w:rPr>
        <w:t xml:space="preserve"> and autism. Furthermore, current understanding of immunological perturbations in neurodegenerative disorders and delirium are summarised. Finally, treatment and prevention considerations are highlighted. </w:t>
      </w:r>
    </w:p>
    <w:p w14:paraId="3CF0CC2C" w14:textId="77777777" w:rsidR="00825E56" w:rsidRPr="00825E56" w:rsidRDefault="00825E56" w:rsidP="00825E56">
      <w:pPr>
        <w:spacing w:after="0" w:line="240" w:lineRule="auto"/>
        <w:rPr>
          <w:rFonts w:ascii="Calibri" w:hAnsi="Calibri" w:cs="Calibri"/>
          <w:b/>
          <w:bCs/>
          <w:sz w:val="36"/>
          <w:szCs w:val="36"/>
          <w:lang w:eastAsia="en-GB"/>
        </w:rPr>
      </w:pPr>
    </w:p>
    <w:p w14:paraId="0B872759" w14:textId="77777777" w:rsidR="00825E56" w:rsidRPr="00825E56" w:rsidRDefault="00825E56" w:rsidP="00825E56">
      <w:pPr>
        <w:tabs>
          <w:tab w:val="num" w:pos="720"/>
        </w:tabs>
        <w:kinsoku w:val="0"/>
        <w:overflowPunct w:val="0"/>
        <w:ind w:left="720" w:hanging="360"/>
        <w:textAlignment w:val="baseline"/>
        <w:rPr>
          <w:b/>
          <w:bCs/>
          <w:sz w:val="36"/>
          <w:szCs w:val="36"/>
        </w:rPr>
      </w:pPr>
    </w:p>
    <w:p w14:paraId="420D3646" w14:textId="77777777" w:rsidR="00825E56" w:rsidRPr="00825E56" w:rsidRDefault="00825E56" w:rsidP="00825E56">
      <w:pPr>
        <w:tabs>
          <w:tab w:val="num" w:pos="720"/>
        </w:tabs>
        <w:kinsoku w:val="0"/>
        <w:overflowPunct w:val="0"/>
        <w:ind w:left="720" w:hanging="360"/>
        <w:textAlignment w:val="baseline"/>
        <w:rPr>
          <w:b/>
          <w:bCs/>
          <w:sz w:val="36"/>
          <w:szCs w:val="36"/>
        </w:rPr>
      </w:pPr>
    </w:p>
    <w:p w14:paraId="4E5AA507" w14:textId="77777777" w:rsidR="00825E56" w:rsidRDefault="00825E56" w:rsidP="00825E56">
      <w:pPr>
        <w:tabs>
          <w:tab w:val="num" w:pos="720"/>
        </w:tabs>
        <w:kinsoku w:val="0"/>
        <w:overflowPunct w:val="0"/>
        <w:ind w:left="720" w:hanging="360"/>
        <w:textAlignment w:val="baseline"/>
        <w:rPr>
          <w:b/>
          <w:bCs/>
          <w:sz w:val="36"/>
          <w:szCs w:val="36"/>
        </w:rPr>
      </w:pPr>
    </w:p>
    <w:p w14:paraId="68B16F39" w14:textId="0FE7E576" w:rsidR="00825E56" w:rsidRPr="00825E56" w:rsidRDefault="00825E56" w:rsidP="00825E56">
      <w:pPr>
        <w:tabs>
          <w:tab w:val="num" w:pos="720"/>
        </w:tabs>
        <w:kinsoku w:val="0"/>
        <w:overflowPunct w:val="0"/>
        <w:ind w:left="720" w:hanging="360"/>
        <w:textAlignment w:val="baseline"/>
        <w:rPr>
          <w:b/>
          <w:bCs/>
          <w:sz w:val="36"/>
          <w:szCs w:val="36"/>
        </w:rPr>
      </w:pPr>
      <w:r w:rsidRPr="00825E56">
        <w:rPr>
          <w:b/>
          <w:bCs/>
          <w:sz w:val="36"/>
          <w:szCs w:val="36"/>
        </w:rPr>
        <w:t>References</w:t>
      </w:r>
    </w:p>
    <w:p w14:paraId="6C1E82F5"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 xml:space="preserve">Bloomfield PS, Selvaraj S, Veronese M, et al (2015) Microglial activity in people at high risk of psychosis and in schizophrenia: an 11c PBR28 PET Imaging study. American Journal of Psychiatry, 173: 44 </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52</w:t>
      </w:r>
    </w:p>
    <w:p w14:paraId="6992D841"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 xml:space="preserve">Sekar, A., Bialas, A., de Rivera, H. </w:t>
      </w:r>
      <w:r w:rsidRPr="00825E56">
        <w:rPr>
          <w:rFonts w:asciiTheme="minorHAnsi" w:eastAsiaTheme="minorEastAsia" w:hAnsi="Arial" w:cstheme="minorBidi"/>
          <w:b/>
          <w:bCs/>
          <w:i/>
          <w:iCs/>
          <w:sz w:val="32"/>
          <w:szCs w:val="32"/>
        </w:rPr>
        <w:t>et al.</w:t>
      </w:r>
      <w:r w:rsidRPr="00825E56">
        <w:rPr>
          <w:rFonts w:asciiTheme="minorHAnsi" w:eastAsiaTheme="minorEastAsia" w:hAnsi="Arial" w:cstheme="minorBidi"/>
          <w:b/>
          <w:bCs/>
          <w:sz w:val="32"/>
          <w:szCs w:val="32"/>
        </w:rPr>
        <w:t xml:space="preserve"> Schizophrenia risk from complex variation of complement component 4. </w:t>
      </w:r>
      <w:r w:rsidRPr="00825E56">
        <w:rPr>
          <w:rFonts w:asciiTheme="minorHAnsi" w:eastAsiaTheme="minorEastAsia" w:hAnsi="Arial" w:cstheme="minorBidi"/>
          <w:b/>
          <w:bCs/>
          <w:i/>
          <w:iCs/>
          <w:sz w:val="32"/>
          <w:szCs w:val="32"/>
        </w:rPr>
        <w:t xml:space="preserve">Nature. </w:t>
      </w:r>
      <w:proofErr w:type="gramStart"/>
      <w:r w:rsidRPr="00825E56">
        <w:rPr>
          <w:rFonts w:asciiTheme="minorHAnsi" w:eastAsiaTheme="minorEastAsia" w:hAnsi="Arial" w:cstheme="minorBidi"/>
          <w:b/>
          <w:bCs/>
          <w:i/>
          <w:iCs/>
          <w:sz w:val="32"/>
          <w:szCs w:val="32"/>
        </w:rPr>
        <w:t xml:space="preserve">2016; </w:t>
      </w:r>
      <w:r w:rsidRPr="00825E56">
        <w:rPr>
          <w:rFonts w:asciiTheme="minorHAnsi" w:eastAsiaTheme="minorEastAsia" w:hAnsi="Arial" w:cstheme="minorBidi"/>
          <w:b/>
          <w:bCs/>
          <w:sz w:val="32"/>
          <w:szCs w:val="32"/>
        </w:rPr>
        <w:t xml:space="preserve"> vol</w:t>
      </w:r>
      <w:proofErr w:type="gramEnd"/>
      <w:r w:rsidRPr="00825E56">
        <w:rPr>
          <w:rFonts w:asciiTheme="minorHAnsi" w:eastAsiaTheme="minorEastAsia" w:hAnsi="Arial" w:cstheme="minorBidi"/>
          <w:b/>
          <w:bCs/>
          <w:sz w:val="32"/>
          <w:szCs w:val="32"/>
        </w:rPr>
        <w:t xml:space="preserve"> 530: 177</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 xml:space="preserve">183 </w:t>
      </w:r>
    </w:p>
    <w:p w14:paraId="417F1B24"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Courchesne E, Carper R, Akshoomoff N (2003) Evidence of brain overgrowth in the first year of life in autism. JAMA, 290: 337</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 xml:space="preserve">44. </w:t>
      </w:r>
    </w:p>
    <w:p w14:paraId="444112A3"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Durston, S. (2003) A review of the biological basis of ADHD: What have we learned from imaging studies? Mental Retardation and Developmental Disabilities, 9: 184</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95.</w:t>
      </w:r>
    </w:p>
    <w:p w14:paraId="0F74D9E6"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 xml:space="preserve">Shaw, P., Eckstrand, K., Sharp, W. et.al. (2007) Attention Deficit / Hyperactivity Disorder is characterised by a delay in cortical maturation. PNAS Vol 104 (49) 19649 </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 xml:space="preserve"> 19654</w:t>
      </w:r>
    </w:p>
    <w:p w14:paraId="10D80880"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lastRenderedPageBreak/>
        <w:t>Gogtay N, Ordonez A, Herman DH, et al (2007) Dynamic mapping of cortical development before and after the onset of paediatric bipolar illness. Journal of Clinical Psychology Psychiatry, 48: 852</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 xml:space="preserve">62. </w:t>
      </w:r>
    </w:p>
    <w:p w14:paraId="4ACAD5F7"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Levkovitz Y, Mendlovich S, Riwkes S, et al (2010) A double-blind, randomized study of minocycline for the treatment of negative and cognitive symptoms in early-phase schizophrenia. Journal of Clinical Psychiatry, 71: 138</w:t>
      </w:r>
      <w:r w:rsidRPr="00825E56">
        <w:rPr>
          <w:rFonts w:asciiTheme="minorHAnsi" w:eastAsiaTheme="minorEastAsia" w:hAnsi="Arial" w:cstheme="minorBidi"/>
          <w:b/>
          <w:bCs/>
          <w:sz w:val="32"/>
          <w:szCs w:val="32"/>
        </w:rPr>
        <w:t>–</w:t>
      </w:r>
      <w:r w:rsidRPr="00825E56">
        <w:rPr>
          <w:rFonts w:asciiTheme="minorHAnsi" w:eastAsiaTheme="minorEastAsia" w:hAnsi="Arial" w:cstheme="minorBidi"/>
          <w:b/>
          <w:bCs/>
          <w:sz w:val="32"/>
          <w:szCs w:val="32"/>
        </w:rPr>
        <w:t xml:space="preserve">49. </w:t>
      </w:r>
    </w:p>
    <w:p w14:paraId="627F38CC"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 xml:space="preserve">Petersen, A.M., Pedersen, B.K. The </w:t>
      </w:r>
      <w:proofErr w:type="spellStart"/>
      <w:proofErr w:type="gramStart"/>
      <w:r w:rsidRPr="00825E56">
        <w:rPr>
          <w:rFonts w:asciiTheme="minorHAnsi" w:eastAsiaTheme="minorEastAsia" w:hAnsi="Arial" w:cstheme="minorBidi"/>
          <w:b/>
          <w:bCs/>
          <w:sz w:val="32"/>
          <w:szCs w:val="32"/>
        </w:rPr>
        <w:t>anti inflammatory</w:t>
      </w:r>
      <w:proofErr w:type="spellEnd"/>
      <w:proofErr w:type="gramEnd"/>
      <w:r w:rsidRPr="00825E56">
        <w:rPr>
          <w:rFonts w:asciiTheme="minorHAnsi" w:eastAsiaTheme="minorEastAsia" w:hAnsi="Arial" w:cstheme="minorBidi"/>
          <w:b/>
          <w:bCs/>
          <w:sz w:val="32"/>
          <w:szCs w:val="32"/>
        </w:rPr>
        <w:t xml:space="preserve"> effect of exercise. Journal of Applied Physiology, 1985; Vol 98(4): 1154-1162</w:t>
      </w:r>
    </w:p>
    <w:p w14:paraId="45B2E2AB" w14:textId="77777777" w:rsidR="00825E56" w:rsidRPr="00825E56" w:rsidRDefault="00825E56" w:rsidP="00825E56">
      <w:pPr>
        <w:pStyle w:val="ListParagraph"/>
        <w:numPr>
          <w:ilvl w:val="0"/>
          <w:numId w:val="1"/>
        </w:numPr>
        <w:kinsoku w:val="0"/>
        <w:overflowPunct w:val="0"/>
        <w:textAlignment w:val="baseline"/>
        <w:rPr>
          <w:sz w:val="32"/>
        </w:rPr>
      </w:pPr>
      <w:r w:rsidRPr="00825E56">
        <w:rPr>
          <w:rFonts w:asciiTheme="minorHAnsi" w:eastAsiaTheme="minorEastAsia" w:hAnsi="Arial" w:cstheme="minorBidi"/>
          <w:b/>
          <w:bCs/>
          <w:sz w:val="32"/>
          <w:szCs w:val="32"/>
        </w:rPr>
        <w:t xml:space="preserve">Bush, Z.  How soil microbes and intracellular communication affects human health. 2017 </w:t>
      </w:r>
      <w:r w:rsidRPr="00825E56">
        <w:rPr>
          <w:rFonts w:asciiTheme="minorHAnsi" w:eastAsiaTheme="minorEastAsia" w:hAnsi="Arial" w:cstheme="minorBidi"/>
          <w:b/>
          <w:bCs/>
          <w:i/>
          <w:iCs/>
          <w:sz w:val="32"/>
          <w:szCs w:val="32"/>
        </w:rPr>
        <w:t xml:space="preserve">  </w:t>
      </w:r>
      <w:hyperlink r:id="rId5" w:history="1">
        <w:r w:rsidRPr="00825E56">
          <w:rPr>
            <w:rStyle w:val="Hyperlink"/>
            <w:rFonts w:asciiTheme="minorHAnsi" w:eastAsiaTheme="minorEastAsia" w:hAnsi="Arial" w:cstheme="minorBidi"/>
            <w:i/>
            <w:iCs/>
            <w:color w:val="auto"/>
            <w:sz w:val="32"/>
            <w:szCs w:val="32"/>
          </w:rPr>
          <w:t>https://</w:t>
        </w:r>
      </w:hyperlink>
      <w:hyperlink r:id="rId6" w:history="1">
        <w:r w:rsidRPr="00825E56">
          <w:rPr>
            <w:rStyle w:val="Hyperlink"/>
            <w:rFonts w:asciiTheme="minorHAnsi" w:eastAsiaTheme="minorEastAsia" w:hAnsi="Arial" w:cstheme="minorBidi"/>
            <w:b/>
            <w:bCs/>
            <w:i/>
            <w:iCs/>
            <w:color w:val="auto"/>
            <w:sz w:val="32"/>
            <w:szCs w:val="32"/>
          </w:rPr>
          <w:t>articles.mercola.com</w:t>
        </w:r>
      </w:hyperlink>
      <w:hyperlink r:id="rId7" w:history="1">
        <w:r w:rsidRPr="00825E56">
          <w:rPr>
            <w:rStyle w:val="Hyperlink"/>
            <w:rFonts w:asciiTheme="minorHAnsi" w:eastAsiaTheme="minorEastAsia" w:hAnsi="Arial" w:cstheme="minorBidi"/>
            <w:i/>
            <w:iCs/>
            <w:color w:val="auto"/>
            <w:sz w:val="32"/>
            <w:szCs w:val="32"/>
          </w:rPr>
          <w:t>/sites/</w:t>
        </w:r>
      </w:hyperlink>
      <w:hyperlink r:id="rId8" w:history="1">
        <w:r w:rsidRPr="00825E56">
          <w:rPr>
            <w:rStyle w:val="Hyperlink"/>
            <w:rFonts w:asciiTheme="minorHAnsi" w:eastAsiaTheme="minorEastAsia" w:hAnsi="Arial" w:cstheme="minorBidi"/>
            <w:b/>
            <w:bCs/>
            <w:i/>
            <w:iCs/>
            <w:color w:val="auto"/>
            <w:sz w:val="32"/>
            <w:szCs w:val="32"/>
          </w:rPr>
          <w:t>articles</w:t>
        </w:r>
      </w:hyperlink>
      <w:hyperlink r:id="rId9" w:history="1">
        <w:r w:rsidRPr="00825E56">
          <w:rPr>
            <w:rStyle w:val="Hyperlink"/>
            <w:rFonts w:asciiTheme="minorHAnsi" w:eastAsiaTheme="minorEastAsia" w:hAnsi="Arial" w:cstheme="minorBidi"/>
            <w:i/>
            <w:iCs/>
            <w:color w:val="auto"/>
            <w:sz w:val="32"/>
            <w:szCs w:val="32"/>
          </w:rPr>
          <w:t>/archive/2017/04/09/</w:t>
        </w:r>
      </w:hyperlink>
      <w:r w:rsidRPr="00825E56">
        <w:rPr>
          <w:rFonts w:asciiTheme="minorHAnsi" w:eastAsiaTheme="minorEastAsia" w:hAnsi="Arial" w:cstheme="minorBidi"/>
          <w:i/>
          <w:iCs/>
          <w:sz w:val="32"/>
          <w:szCs w:val="32"/>
          <w:u w:val="single"/>
        </w:rPr>
        <w:t>...</w:t>
      </w:r>
    </w:p>
    <w:p w14:paraId="7AAE9DEC" w14:textId="6C304EE2" w:rsidR="00825E56" w:rsidRPr="00825E56" w:rsidRDefault="00825E56" w:rsidP="00825E56">
      <w:pPr>
        <w:pStyle w:val="ListParagraph"/>
        <w:numPr>
          <w:ilvl w:val="0"/>
          <w:numId w:val="1"/>
        </w:numPr>
        <w:kinsoku w:val="0"/>
        <w:overflowPunct w:val="0"/>
        <w:textAlignment w:val="baseline"/>
        <w:rPr>
          <w:sz w:val="32"/>
        </w:rPr>
      </w:pPr>
      <w:proofErr w:type="gramStart"/>
      <w:r w:rsidRPr="00825E56">
        <w:rPr>
          <w:rFonts w:asciiTheme="minorHAnsi" w:eastAsiaTheme="minorEastAsia" w:hAnsi="Arial" w:cstheme="minorBidi"/>
          <w:b/>
          <w:bCs/>
          <w:sz w:val="32"/>
          <w:szCs w:val="32"/>
        </w:rPr>
        <w:t>Dimitrov,,</w:t>
      </w:r>
      <w:proofErr w:type="gramEnd"/>
      <w:r w:rsidRPr="00825E56">
        <w:rPr>
          <w:rFonts w:asciiTheme="minorHAnsi" w:eastAsiaTheme="minorEastAsia" w:hAnsi="Arial" w:cstheme="minorBidi"/>
          <w:b/>
          <w:bCs/>
          <w:sz w:val="32"/>
          <w:szCs w:val="32"/>
        </w:rPr>
        <w:t xml:space="preserve"> S., Lange, T., Gouttefangeas, C. et.al. G</w:t>
      </w:r>
      <w:r w:rsidRPr="00825E56">
        <w:rPr>
          <w:rFonts w:asciiTheme="minorHAnsi" w:eastAsiaTheme="minorEastAsia" w:hAnsi="Arial" w:cstheme="minorBidi"/>
          <w:b/>
          <w:bCs/>
          <w:sz w:val="32"/>
          <w:szCs w:val="32"/>
          <w:lang w:val="el-GR"/>
        </w:rPr>
        <w:t>α</w:t>
      </w:r>
      <w:r w:rsidRPr="00825E56">
        <w:rPr>
          <w:rFonts w:asciiTheme="minorHAnsi" w:eastAsiaTheme="minorEastAsia" w:hAnsi="Arial" w:cstheme="minorBidi"/>
          <w:b/>
          <w:bCs/>
          <w:sz w:val="32"/>
          <w:szCs w:val="32"/>
        </w:rPr>
        <w:t xml:space="preserve">s-coupled receptor </w:t>
      </w:r>
      <w:proofErr w:type="gramStart"/>
      <w:r w:rsidRPr="00825E56">
        <w:rPr>
          <w:rFonts w:asciiTheme="minorHAnsi" w:eastAsiaTheme="minorEastAsia" w:hAnsi="Arial" w:cstheme="minorBidi"/>
          <w:b/>
          <w:bCs/>
          <w:sz w:val="32"/>
          <w:szCs w:val="32"/>
        </w:rPr>
        <w:t>signalling</w:t>
      </w:r>
      <w:proofErr w:type="gramEnd"/>
      <w:r w:rsidRPr="00825E56">
        <w:rPr>
          <w:rFonts w:asciiTheme="minorHAnsi" w:eastAsiaTheme="minorEastAsia" w:hAnsi="Arial" w:cstheme="minorBidi"/>
          <w:b/>
          <w:bCs/>
          <w:sz w:val="32"/>
          <w:szCs w:val="32"/>
        </w:rPr>
        <w:t xml:space="preserve"> and sleep regulate integrin activation of human antigen-specific T cells. </w:t>
      </w:r>
      <w:r w:rsidRPr="00825E56">
        <w:rPr>
          <w:rFonts w:asciiTheme="minorHAnsi" w:eastAsiaTheme="minorEastAsia" w:hAnsi="Arial" w:cstheme="minorBidi"/>
          <w:b/>
          <w:bCs/>
          <w:i/>
          <w:iCs/>
          <w:sz w:val="32"/>
          <w:szCs w:val="32"/>
        </w:rPr>
        <w:t>The Journal of Experimental Medicine</w:t>
      </w:r>
      <w:r w:rsidRPr="00825E56">
        <w:rPr>
          <w:rFonts w:asciiTheme="minorHAnsi" w:eastAsiaTheme="minorEastAsia" w:hAnsi="Arial" w:cstheme="minorBidi"/>
          <w:b/>
          <w:bCs/>
          <w:sz w:val="32"/>
          <w:szCs w:val="32"/>
        </w:rPr>
        <w:t xml:space="preserve">, 2019; jem.20181169 DOI: </w:t>
      </w:r>
      <w:hyperlink r:id="rId10" w:history="1">
        <w:r w:rsidRPr="00825E56">
          <w:rPr>
            <w:rStyle w:val="Hyperlink"/>
            <w:rFonts w:asciiTheme="minorHAnsi" w:eastAsiaTheme="minorEastAsia" w:hAnsi="Arial" w:cstheme="minorBidi"/>
            <w:b/>
            <w:bCs/>
            <w:color w:val="auto"/>
            <w:sz w:val="32"/>
            <w:szCs w:val="32"/>
          </w:rPr>
          <w:t>10.1084/jem.20181169</w:t>
        </w:r>
      </w:hyperlink>
      <w:r w:rsidRPr="00825E56">
        <w:rPr>
          <w:rFonts w:asciiTheme="minorHAnsi" w:eastAsiaTheme="minorEastAsia" w:hAnsi="Arial" w:cstheme="minorBidi"/>
          <w:b/>
          <w:bCs/>
          <w:sz w:val="32"/>
          <w:szCs w:val="32"/>
        </w:rPr>
        <w:t xml:space="preserve"> </w:t>
      </w:r>
    </w:p>
    <w:p w14:paraId="3498248A" w14:textId="77777777" w:rsidR="00825E56" w:rsidRPr="00825E56" w:rsidRDefault="00825E56" w:rsidP="00825E56">
      <w:pPr>
        <w:pStyle w:val="ListParagraph"/>
        <w:numPr>
          <w:ilvl w:val="0"/>
          <w:numId w:val="1"/>
        </w:numPr>
        <w:rPr>
          <w:sz w:val="32"/>
        </w:rPr>
      </w:pPr>
      <w:r w:rsidRPr="00825E56">
        <w:rPr>
          <w:b/>
          <w:bCs/>
          <w:sz w:val="32"/>
        </w:rPr>
        <w:t xml:space="preserve">Yan, J., Hou, C., Liang, Y. The prevalence and </w:t>
      </w:r>
      <w:proofErr w:type="gramStart"/>
      <w:r w:rsidRPr="00825E56">
        <w:rPr>
          <w:b/>
          <w:bCs/>
          <w:sz w:val="32"/>
        </w:rPr>
        <w:t>risk  factors</w:t>
      </w:r>
      <w:proofErr w:type="gramEnd"/>
      <w:r w:rsidRPr="00825E56">
        <w:rPr>
          <w:b/>
          <w:bCs/>
          <w:sz w:val="32"/>
        </w:rPr>
        <w:t xml:space="preserve"> of young male schizophrenics with non-alcoholic fatty liver disease. Neuropsychiatric disease and treatment. 2017, Vol 13: 1493 - 1498</w:t>
      </w:r>
    </w:p>
    <w:p w14:paraId="4BBE8618" w14:textId="77777777" w:rsidR="00825E56" w:rsidRPr="00825E56" w:rsidRDefault="00825E56" w:rsidP="00825E56">
      <w:pPr>
        <w:pStyle w:val="ListParagraph"/>
        <w:numPr>
          <w:ilvl w:val="0"/>
          <w:numId w:val="1"/>
        </w:numPr>
        <w:rPr>
          <w:sz w:val="32"/>
        </w:rPr>
      </w:pPr>
      <w:r w:rsidRPr="00825E56">
        <w:rPr>
          <w:b/>
          <w:bCs/>
          <w:sz w:val="32"/>
        </w:rPr>
        <w:t xml:space="preserve">Liu, Y., Ho, R.C., Mak. A. (2012) </w:t>
      </w:r>
      <w:proofErr w:type="gramStart"/>
      <w:r w:rsidRPr="00825E56">
        <w:rPr>
          <w:b/>
          <w:bCs/>
          <w:sz w:val="32"/>
        </w:rPr>
        <w:t>Interleukin(</w:t>
      </w:r>
      <w:proofErr w:type="gramEnd"/>
      <w:r w:rsidRPr="00825E56">
        <w:rPr>
          <w:b/>
          <w:bCs/>
          <w:sz w:val="32"/>
        </w:rPr>
        <w:t>IL)-6, tumour necrosis factor alpha (TNF-</w:t>
      </w:r>
      <w:r w:rsidRPr="00825E56">
        <w:rPr>
          <w:b/>
          <w:bCs/>
          <w:sz w:val="32"/>
          <w:lang w:val="el-GR"/>
        </w:rPr>
        <w:t xml:space="preserve">α) </w:t>
      </w:r>
      <w:r w:rsidRPr="00825E56">
        <w:rPr>
          <w:b/>
          <w:bCs/>
          <w:sz w:val="32"/>
        </w:rPr>
        <w:t>and soluble interleukin-2 receptors (sIL-2R) are elevated in patients with major depressive disorder: a meta-analysis and meta regression. Journal of Affective Disorders, 139: 230–9.</w:t>
      </w:r>
    </w:p>
    <w:p w14:paraId="672B16E4" w14:textId="77777777" w:rsidR="00825E56" w:rsidRPr="00825E56" w:rsidRDefault="00825E56" w:rsidP="00825E56">
      <w:pPr>
        <w:pStyle w:val="ListParagraph"/>
        <w:numPr>
          <w:ilvl w:val="0"/>
          <w:numId w:val="1"/>
        </w:numPr>
        <w:rPr>
          <w:sz w:val="32"/>
        </w:rPr>
      </w:pPr>
      <w:r w:rsidRPr="00825E56">
        <w:rPr>
          <w:b/>
          <w:bCs/>
          <w:sz w:val="32"/>
        </w:rPr>
        <w:t xml:space="preserve">Schumann CM, Bloss CS, Barnes CC, et al (2010) Longitudinal magnetic resonance imaging study of cortical development through early childhood in autism. Journal of Neuroscience, 30: 4419–27. </w:t>
      </w:r>
    </w:p>
    <w:p w14:paraId="7B1A104D" w14:textId="77777777" w:rsidR="00825E56" w:rsidRPr="00825E56" w:rsidRDefault="00825E56" w:rsidP="00825E56">
      <w:pPr>
        <w:pStyle w:val="ListParagraph"/>
        <w:numPr>
          <w:ilvl w:val="0"/>
          <w:numId w:val="1"/>
        </w:numPr>
        <w:rPr>
          <w:sz w:val="32"/>
        </w:rPr>
      </w:pPr>
      <w:r w:rsidRPr="00825E56">
        <w:rPr>
          <w:b/>
          <w:bCs/>
          <w:sz w:val="32"/>
        </w:rPr>
        <w:t xml:space="preserve">Shah K, Nkiruka I, Tabares P, et al (2013) Limbic encephalitis and psychosis. General Hospital Psychiatry, 35: 682e1–e2. </w:t>
      </w:r>
    </w:p>
    <w:p w14:paraId="31F05442" w14:textId="77777777" w:rsidR="00825E56" w:rsidRPr="00825E56" w:rsidRDefault="00825E56" w:rsidP="00825E56">
      <w:pPr>
        <w:pStyle w:val="ListParagraph"/>
        <w:numPr>
          <w:ilvl w:val="0"/>
          <w:numId w:val="1"/>
        </w:numPr>
        <w:rPr>
          <w:sz w:val="32"/>
        </w:rPr>
      </w:pPr>
      <w:r w:rsidRPr="00825E56">
        <w:rPr>
          <w:b/>
          <w:bCs/>
          <w:sz w:val="32"/>
        </w:rPr>
        <w:lastRenderedPageBreak/>
        <w:t>Thompson PM, Vidal C, Giedd JN, et al (2001) Mapping adolescent brain change reveals dynamic wave of accelerated grey matter loss in very early-onset schizophrenia. Proceedings of the National Academy of Sciences of the United States of America, 98: 11650–5.</w:t>
      </w:r>
    </w:p>
    <w:p w14:paraId="6BDD2C3C" w14:textId="77777777" w:rsidR="00825E56" w:rsidRPr="00825E56" w:rsidRDefault="00825E56" w:rsidP="00825E56">
      <w:pPr>
        <w:pStyle w:val="ListParagraph"/>
        <w:numPr>
          <w:ilvl w:val="0"/>
          <w:numId w:val="1"/>
        </w:numPr>
        <w:rPr>
          <w:sz w:val="32"/>
        </w:rPr>
      </w:pPr>
      <w:r w:rsidRPr="00825E56">
        <w:rPr>
          <w:b/>
          <w:bCs/>
          <w:sz w:val="32"/>
        </w:rPr>
        <w:t>Fang, x., Wang, K., Han, D. et.al.  Dietary Magnesium intake and the risk of cardiovascular disease, type II diabetes and all-cause mortality; a dose response meta-analysis of prospective cohort studies. BMC Medicine 2016, 14:210</w:t>
      </w:r>
    </w:p>
    <w:p w14:paraId="1EF6E5D9" w14:textId="77777777" w:rsidR="00825E56" w:rsidRPr="00825E56" w:rsidRDefault="00825E56" w:rsidP="00825E56">
      <w:pPr>
        <w:pStyle w:val="ListParagraph"/>
        <w:numPr>
          <w:ilvl w:val="0"/>
          <w:numId w:val="1"/>
        </w:numPr>
        <w:rPr>
          <w:sz w:val="32"/>
        </w:rPr>
      </w:pPr>
      <w:r w:rsidRPr="00825E56">
        <w:rPr>
          <w:b/>
          <w:bCs/>
          <w:sz w:val="32"/>
        </w:rPr>
        <w:t xml:space="preserve">Urashima, M., Segawa, T., Okazaki, M. et.al. Randomized trial of Vitamin D supplementation to prevent seasonal influenza A in schoolchildren. Am. J. Clin. </w:t>
      </w:r>
      <w:proofErr w:type="spellStart"/>
      <w:r w:rsidRPr="00825E56">
        <w:rPr>
          <w:b/>
          <w:bCs/>
          <w:sz w:val="32"/>
        </w:rPr>
        <w:t>Nutr</w:t>
      </w:r>
      <w:proofErr w:type="spellEnd"/>
      <w:r w:rsidRPr="00825E56">
        <w:rPr>
          <w:b/>
          <w:bCs/>
          <w:sz w:val="32"/>
        </w:rPr>
        <w:t>. 2010 May, Vol 91(5)1255 – 1260</w:t>
      </w:r>
    </w:p>
    <w:p w14:paraId="00DC669D" w14:textId="77777777" w:rsidR="00825E56" w:rsidRPr="00825E56" w:rsidRDefault="00825E56" w:rsidP="00825E56">
      <w:pPr>
        <w:pStyle w:val="ListParagraph"/>
        <w:numPr>
          <w:ilvl w:val="0"/>
          <w:numId w:val="1"/>
        </w:numPr>
        <w:rPr>
          <w:sz w:val="32"/>
        </w:rPr>
      </w:pPr>
      <w:r w:rsidRPr="00825E56">
        <w:rPr>
          <w:b/>
          <w:bCs/>
          <w:sz w:val="32"/>
        </w:rPr>
        <w:t>Thompson, C., Szabo, A. Psychedelics as a novel approach to treating autoimmune conditions. Immunology Letters. 2020; Vol 228: 45 - 54</w:t>
      </w:r>
    </w:p>
    <w:p w14:paraId="144F289E" w14:textId="77777777" w:rsidR="00825E56" w:rsidRDefault="00825E56" w:rsidP="00825E56">
      <w:pPr>
        <w:pStyle w:val="ListParagraph"/>
        <w:kinsoku w:val="0"/>
        <w:overflowPunct w:val="0"/>
        <w:textAlignment w:val="baseline"/>
        <w:rPr>
          <w:sz w:val="32"/>
        </w:rPr>
      </w:pPr>
    </w:p>
    <w:p w14:paraId="535AAADC" w14:textId="77777777" w:rsidR="00051559" w:rsidRDefault="00825E56"/>
    <w:sectPr w:rsidR="00051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A50D12"/>
    <w:multiLevelType w:val="hybridMultilevel"/>
    <w:tmpl w:val="30D83CAA"/>
    <w:lvl w:ilvl="0" w:tplc="B034371A">
      <w:start w:val="1"/>
      <w:numFmt w:val="bullet"/>
      <w:lvlText w:val="•"/>
      <w:lvlJc w:val="left"/>
      <w:pPr>
        <w:tabs>
          <w:tab w:val="num" w:pos="720"/>
        </w:tabs>
        <w:ind w:left="720" w:hanging="360"/>
      </w:pPr>
      <w:rPr>
        <w:rFonts w:ascii="Times New Roman" w:hAnsi="Times New Roman" w:hint="default"/>
      </w:rPr>
    </w:lvl>
    <w:lvl w:ilvl="1" w:tplc="6C3EE14C" w:tentative="1">
      <w:start w:val="1"/>
      <w:numFmt w:val="bullet"/>
      <w:lvlText w:val="•"/>
      <w:lvlJc w:val="left"/>
      <w:pPr>
        <w:tabs>
          <w:tab w:val="num" w:pos="1440"/>
        </w:tabs>
        <w:ind w:left="1440" w:hanging="360"/>
      </w:pPr>
      <w:rPr>
        <w:rFonts w:ascii="Times New Roman" w:hAnsi="Times New Roman" w:hint="default"/>
      </w:rPr>
    </w:lvl>
    <w:lvl w:ilvl="2" w:tplc="BDE8F754" w:tentative="1">
      <w:start w:val="1"/>
      <w:numFmt w:val="bullet"/>
      <w:lvlText w:val="•"/>
      <w:lvlJc w:val="left"/>
      <w:pPr>
        <w:tabs>
          <w:tab w:val="num" w:pos="2160"/>
        </w:tabs>
        <w:ind w:left="2160" w:hanging="360"/>
      </w:pPr>
      <w:rPr>
        <w:rFonts w:ascii="Times New Roman" w:hAnsi="Times New Roman" w:hint="default"/>
      </w:rPr>
    </w:lvl>
    <w:lvl w:ilvl="3" w:tplc="11E62230" w:tentative="1">
      <w:start w:val="1"/>
      <w:numFmt w:val="bullet"/>
      <w:lvlText w:val="•"/>
      <w:lvlJc w:val="left"/>
      <w:pPr>
        <w:tabs>
          <w:tab w:val="num" w:pos="2880"/>
        </w:tabs>
        <w:ind w:left="2880" w:hanging="360"/>
      </w:pPr>
      <w:rPr>
        <w:rFonts w:ascii="Times New Roman" w:hAnsi="Times New Roman" w:hint="default"/>
      </w:rPr>
    </w:lvl>
    <w:lvl w:ilvl="4" w:tplc="FBF695BC" w:tentative="1">
      <w:start w:val="1"/>
      <w:numFmt w:val="bullet"/>
      <w:lvlText w:val="•"/>
      <w:lvlJc w:val="left"/>
      <w:pPr>
        <w:tabs>
          <w:tab w:val="num" w:pos="3600"/>
        </w:tabs>
        <w:ind w:left="3600" w:hanging="360"/>
      </w:pPr>
      <w:rPr>
        <w:rFonts w:ascii="Times New Roman" w:hAnsi="Times New Roman" w:hint="default"/>
      </w:rPr>
    </w:lvl>
    <w:lvl w:ilvl="5" w:tplc="ECA052DC" w:tentative="1">
      <w:start w:val="1"/>
      <w:numFmt w:val="bullet"/>
      <w:lvlText w:val="•"/>
      <w:lvlJc w:val="left"/>
      <w:pPr>
        <w:tabs>
          <w:tab w:val="num" w:pos="4320"/>
        </w:tabs>
        <w:ind w:left="4320" w:hanging="360"/>
      </w:pPr>
      <w:rPr>
        <w:rFonts w:ascii="Times New Roman" w:hAnsi="Times New Roman" w:hint="default"/>
      </w:rPr>
    </w:lvl>
    <w:lvl w:ilvl="6" w:tplc="4E2EC8F8" w:tentative="1">
      <w:start w:val="1"/>
      <w:numFmt w:val="bullet"/>
      <w:lvlText w:val="•"/>
      <w:lvlJc w:val="left"/>
      <w:pPr>
        <w:tabs>
          <w:tab w:val="num" w:pos="5040"/>
        </w:tabs>
        <w:ind w:left="5040" w:hanging="360"/>
      </w:pPr>
      <w:rPr>
        <w:rFonts w:ascii="Times New Roman" w:hAnsi="Times New Roman" w:hint="default"/>
      </w:rPr>
    </w:lvl>
    <w:lvl w:ilvl="7" w:tplc="7004BAB6" w:tentative="1">
      <w:start w:val="1"/>
      <w:numFmt w:val="bullet"/>
      <w:lvlText w:val="•"/>
      <w:lvlJc w:val="left"/>
      <w:pPr>
        <w:tabs>
          <w:tab w:val="num" w:pos="5760"/>
        </w:tabs>
        <w:ind w:left="5760" w:hanging="360"/>
      </w:pPr>
      <w:rPr>
        <w:rFonts w:ascii="Times New Roman" w:hAnsi="Times New Roman" w:hint="default"/>
      </w:rPr>
    </w:lvl>
    <w:lvl w:ilvl="8" w:tplc="7070D85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10A40D1"/>
    <w:multiLevelType w:val="hybridMultilevel"/>
    <w:tmpl w:val="9CEA28BC"/>
    <w:lvl w:ilvl="0" w:tplc="12BAB0D6">
      <w:start w:val="1"/>
      <w:numFmt w:val="bullet"/>
      <w:lvlText w:val="•"/>
      <w:lvlJc w:val="left"/>
      <w:pPr>
        <w:tabs>
          <w:tab w:val="num" w:pos="720"/>
        </w:tabs>
        <w:ind w:left="720" w:hanging="360"/>
      </w:pPr>
      <w:rPr>
        <w:rFonts w:ascii="Times New Roman" w:hAnsi="Times New Roman" w:hint="default"/>
      </w:rPr>
    </w:lvl>
    <w:lvl w:ilvl="1" w:tplc="859E9C2E" w:tentative="1">
      <w:start w:val="1"/>
      <w:numFmt w:val="bullet"/>
      <w:lvlText w:val="•"/>
      <w:lvlJc w:val="left"/>
      <w:pPr>
        <w:tabs>
          <w:tab w:val="num" w:pos="1440"/>
        </w:tabs>
        <w:ind w:left="1440" w:hanging="360"/>
      </w:pPr>
      <w:rPr>
        <w:rFonts w:ascii="Times New Roman" w:hAnsi="Times New Roman" w:hint="default"/>
      </w:rPr>
    </w:lvl>
    <w:lvl w:ilvl="2" w:tplc="1CE6EC40" w:tentative="1">
      <w:start w:val="1"/>
      <w:numFmt w:val="bullet"/>
      <w:lvlText w:val="•"/>
      <w:lvlJc w:val="left"/>
      <w:pPr>
        <w:tabs>
          <w:tab w:val="num" w:pos="2160"/>
        </w:tabs>
        <w:ind w:left="2160" w:hanging="360"/>
      </w:pPr>
      <w:rPr>
        <w:rFonts w:ascii="Times New Roman" w:hAnsi="Times New Roman" w:hint="default"/>
      </w:rPr>
    </w:lvl>
    <w:lvl w:ilvl="3" w:tplc="EF287728" w:tentative="1">
      <w:start w:val="1"/>
      <w:numFmt w:val="bullet"/>
      <w:lvlText w:val="•"/>
      <w:lvlJc w:val="left"/>
      <w:pPr>
        <w:tabs>
          <w:tab w:val="num" w:pos="2880"/>
        </w:tabs>
        <w:ind w:left="2880" w:hanging="360"/>
      </w:pPr>
      <w:rPr>
        <w:rFonts w:ascii="Times New Roman" w:hAnsi="Times New Roman" w:hint="default"/>
      </w:rPr>
    </w:lvl>
    <w:lvl w:ilvl="4" w:tplc="D22EC98A" w:tentative="1">
      <w:start w:val="1"/>
      <w:numFmt w:val="bullet"/>
      <w:lvlText w:val="•"/>
      <w:lvlJc w:val="left"/>
      <w:pPr>
        <w:tabs>
          <w:tab w:val="num" w:pos="3600"/>
        </w:tabs>
        <w:ind w:left="3600" w:hanging="360"/>
      </w:pPr>
      <w:rPr>
        <w:rFonts w:ascii="Times New Roman" w:hAnsi="Times New Roman" w:hint="default"/>
      </w:rPr>
    </w:lvl>
    <w:lvl w:ilvl="5" w:tplc="6732773A" w:tentative="1">
      <w:start w:val="1"/>
      <w:numFmt w:val="bullet"/>
      <w:lvlText w:val="•"/>
      <w:lvlJc w:val="left"/>
      <w:pPr>
        <w:tabs>
          <w:tab w:val="num" w:pos="4320"/>
        </w:tabs>
        <w:ind w:left="4320" w:hanging="360"/>
      </w:pPr>
      <w:rPr>
        <w:rFonts w:ascii="Times New Roman" w:hAnsi="Times New Roman" w:hint="default"/>
      </w:rPr>
    </w:lvl>
    <w:lvl w:ilvl="6" w:tplc="7B48FC1E" w:tentative="1">
      <w:start w:val="1"/>
      <w:numFmt w:val="bullet"/>
      <w:lvlText w:val="•"/>
      <w:lvlJc w:val="left"/>
      <w:pPr>
        <w:tabs>
          <w:tab w:val="num" w:pos="5040"/>
        </w:tabs>
        <w:ind w:left="5040" w:hanging="360"/>
      </w:pPr>
      <w:rPr>
        <w:rFonts w:ascii="Times New Roman" w:hAnsi="Times New Roman" w:hint="default"/>
      </w:rPr>
    </w:lvl>
    <w:lvl w:ilvl="7" w:tplc="C1F8EFDA" w:tentative="1">
      <w:start w:val="1"/>
      <w:numFmt w:val="bullet"/>
      <w:lvlText w:val="•"/>
      <w:lvlJc w:val="left"/>
      <w:pPr>
        <w:tabs>
          <w:tab w:val="num" w:pos="5760"/>
        </w:tabs>
        <w:ind w:left="5760" w:hanging="360"/>
      </w:pPr>
      <w:rPr>
        <w:rFonts w:ascii="Times New Roman" w:hAnsi="Times New Roman" w:hint="default"/>
      </w:rPr>
    </w:lvl>
    <w:lvl w:ilvl="8" w:tplc="2B723554"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E56"/>
    <w:rsid w:val="00527BDB"/>
    <w:rsid w:val="00825E56"/>
    <w:rsid w:val="00EF6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43362"/>
  <w15:chartTrackingRefBased/>
  <w15:docId w15:val="{920C8487-1A21-41BB-A1FC-39880EF1B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E56"/>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25E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747146">
      <w:bodyDiv w:val="1"/>
      <w:marLeft w:val="0"/>
      <w:marRight w:val="0"/>
      <w:marTop w:val="0"/>
      <w:marBottom w:val="0"/>
      <w:divBdr>
        <w:top w:val="none" w:sz="0" w:space="0" w:color="auto"/>
        <w:left w:val="none" w:sz="0" w:space="0" w:color="auto"/>
        <w:bottom w:val="none" w:sz="0" w:space="0" w:color="auto"/>
        <w:right w:val="none" w:sz="0" w:space="0" w:color="auto"/>
      </w:divBdr>
      <w:divsChild>
        <w:div w:id="1126003093">
          <w:marLeft w:val="547"/>
          <w:marRight w:val="0"/>
          <w:marTop w:val="77"/>
          <w:marBottom w:val="0"/>
          <w:divBdr>
            <w:top w:val="none" w:sz="0" w:space="0" w:color="auto"/>
            <w:left w:val="none" w:sz="0" w:space="0" w:color="auto"/>
            <w:bottom w:val="none" w:sz="0" w:space="0" w:color="auto"/>
            <w:right w:val="none" w:sz="0" w:space="0" w:color="auto"/>
          </w:divBdr>
        </w:div>
        <w:div w:id="1426539666">
          <w:marLeft w:val="547"/>
          <w:marRight w:val="0"/>
          <w:marTop w:val="77"/>
          <w:marBottom w:val="0"/>
          <w:divBdr>
            <w:top w:val="none" w:sz="0" w:space="0" w:color="auto"/>
            <w:left w:val="none" w:sz="0" w:space="0" w:color="auto"/>
            <w:bottom w:val="none" w:sz="0" w:space="0" w:color="auto"/>
            <w:right w:val="none" w:sz="0" w:space="0" w:color="auto"/>
          </w:divBdr>
        </w:div>
        <w:div w:id="1863588993">
          <w:marLeft w:val="547"/>
          <w:marRight w:val="0"/>
          <w:marTop w:val="77"/>
          <w:marBottom w:val="0"/>
          <w:divBdr>
            <w:top w:val="none" w:sz="0" w:space="0" w:color="auto"/>
            <w:left w:val="none" w:sz="0" w:space="0" w:color="auto"/>
            <w:bottom w:val="none" w:sz="0" w:space="0" w:color="auto"/>
            <w:right w:val="none" w:sz="0" w:space="0" w:color="auto"/>
          </w:divBdr>
        </w:div>
        <w:div w:id="1446388746">
          <w:marLeft w:val="547"/>
          <w:marRight w:val="0"/>
          <w:marTop w:val="77"/>
          <w:marBottom w:val="0"/>
          <w:divBdr>
            <w:top w:val="none" w:sz="0" w:space="0" w:color="auto"/>
            <w:left w:val="none" w:sz="0" w:space="0" w:color="auto"/>
            <w:bottom w:val="none" w:sz="0" w:space="0" w:color="auto"/>
            <w:right w:val="none" w:sz="0" w:space="0" w:color="auto"/>
          </w:divBdr>
        </w:div>
        <w:div w:id="1459228249">
          <w:marLeft w:val="547"/>
          <w:marRight w:val="0"/>
          <w:marTop w:val="77"/>
          <w:marBottom w:val="0"/>
          <w:divBdr>
            <w:top w:val="none" w:sz="0" w:space="0" w:color="auto"/>
            <w:left w:val="none" w:sz="0" w:space="0" w:color="auto"/>
            <w:bottom w:val="none" w:sz="0" w:space="0" w:color="auto"/>
            <w:right w:val="none" w:sz="0" w:space="0" w:color="auto"/>
          </w:divBdr>
        </w:div>
        <w:div w:id="468323121">
          <w:marLeft w:val="547"/>
          <w:marRight w:val="0"/>
          <w:marTop w:val="77"/>
          <w:marBottom w:val="0"/>
          <w:divBdr>
            <w:top w:val="none" w:sz="0" w:space="0" w:color="auto"/>
            <w:left w:val="none" w:sz="0" w:space="0" w:color="auto"/>
            <w:bottom w:val="none" w:sz="0" w:space="0" w:color="auto"/>
            <w:right w:val="none" w:sz="0" w:space="0" w:color="auto"/>
          </w:divBdr>
        </w:div>
        <w:div w:id="1547372861">
          <w:marLeft w:val="547"/>
          <w:marRight w:val="0"/>
          <w:marTop w:val="77"/>
          <w:marBottom w:val="0"/>
          <w:divBdr>
            <w:top w:val="none" w:sz="0" w:space="0" w:color="auto"/>
            <w:left w:val="none" w:sz="0" w:space="0" w:color="auto"/>
            <w:bottom w:val="none" w:sz="0" w:space="0" w:color="auto"/>
            <w:right w:val="none" w:sz="0" w:space="0" w:color="auto"/>
          </w:divBdr>
        </w:div>
        <w:div w:id="1211916673">
          <w:marLeft w:val="547"/>
          <w:marRight w:val="0"/>
          <w:marTop w:val="77"/>
          <w:marBottom w:val="0"/>
          <w:divBdr>
            <w:top w:val="none" w:sz="0" w:space="0" w:color="auto"/>
            <w:left w:val="none" w:sz="0" w:space="0" w:color="auto"/>
            <w:bottom w:val="none" w:sz="0" w:space="0" w:color="auto"/>
            <w:right w:val="none" w:sz="0" w:space="0" w:color="auto"/>
          </w:divBdr>
        </w:div>
      </w:divsChild>
    </w:div>
    <w:div w:id="2092313315">
      <w:bodyDiv w:val="1"/>
      <w:marLeft w:val="0"/>
      <w:marRight w:val="0"/>
      <w:marTop w:val="0"/>
      <w:marBottom w:val="0"/>
      <w:divBdr>
        <w:top w:val="none" w:sz="0" w:space="0" w:color="auto"/>
        <w:left w:val="none" w:sz="0" w:space="0" w:color="auto"/>
        <w:bottom w:val="none" w:sz="0" w:space="0" w:color="auto"/>
        <w:right w:val="none" w:sz="0" w:space="0" w:color="auto"/>
      </w:divBdr>
      <w:divsChild>
        <w:div w:id="877356613">
          <w:marLeft w:val="547"/>
          <w:marRight w:val="0"/>
          <w:marTop w:val="77"/>
          <w:marBottom w:val="0"/>
          <w:divBdr>
            <w:top w:val="none" w:sz="0" w:space="0" w:color="auto"/>
            <w:left w:val="none" w:sz="0" w:space="0" w:color="auto"/>
            <w:bottom w:val="none" w:sz="0" w:space="0" w:color="auto"/>
            <w:right w:val="none" w:sz="0" w:space="0" w:color="auto"/>
          </w:divBdr>
        </w:div>
        <w:div w:id="930117709">
          <w:marLeft w:val="547"/>
          <w:marRight w:val="0"/>
          <w:marTop w:val="77"/>
          <w:marBottom w:val="0"/>
          <w:divBdr>
            <w:top w:val="none" w:sz="0" w:space="0" w:color="auto"/>
            <w:left w:val="none" w:sz="0" w:space="0" w:color="auto"/>
            <w:bottom w:val="none" w:sz="0" w:space="0" w:color="auto"/>
            <w:right w:val="none" w:sz="0" w:space="0" w:color="auto"/>
          </w:divBdr>
        </w:div>
        <w:div w:id="245917767">
          <w:marLeft w:val="547"/>
          <w:marRight w:val="0"/>
          <w:marTop w:val="77"/>
          <w:marBottom w:val="0"/>
          <w:divBdr>
            <w:top w:val="none" w:sz="0" w:space="0" w:color="auto"/>
            <w:left w:val="none" w:sz="0" w:space="0" w:color="auto"/>
            <w:bottom w:val="none" w:sz="0" w:space="0" w:color="auto"/>
            <w:right w:val="none" w:sz="0" w:space="0" w:color="auto"/>
          </w:divBdr>
        </w:div>
        <w:div w:id="260526823">
          <w:marLeft w:val="547"/>
          <w:marRight w:val="0"/>
          <w:marTop w:val="77"/>
          <w:marBottom w:val="0"/>
          <w:divBdr>
            <w:top w:val="none" w:sz="0" w:space="0" w:color="auto"/>
            <w:left w:val="none" w:sz="0" w:space="0" w:color="auto"/>
            <w:bottom w:val="none" w:sz="0" w:space="0" w:color="auto"/>
            <w:right w:val="none" w:sz="0" w:space="0" w:color="auto"/>
          </w:divBdr>
        </w:div>
        <w:div w:id="856770626">
          <w:marLeft w:val="547"/>
          <w:marRight w:val="0"/>
          <w:marTop w:val="77"/>
          <w:marBottom w:val="0"/>
          <w:divBdr>
            <w:top w:val="none" w:sz="0" w:space="0" w:color="auto"/>
            <w:left w:val="none" w:sz="0" w:space="0" w:color="auto"/>
            <w:bottom w:val="none" w:sz="0" w:space="0" w:color="auto"/>
            <w:right w:val="none" w:sz="0" w:space="0" w:color="auto"/>
          </w:divBdr>
        </w:div>
        <w:div w:id="44111208">
          <w:marLeft w:val="547"/>
          <w:marRight w:val="0"/>
          <w:marTop w:val="77"/>
          <w:marBottom w:val="0"/>
          <w:divBdr>
            <w:top w:val="none" w:sz="0" w:space="0" w:color="auto"/>
            <w:left w:val="none" w:sz="0" w:space="0" w:color="auto"/>
            <w:bottom w:val="none" w:sz="0" w:space="0" w:color="auto"/>
            <w:right w:val="none" w:sz="0" w:space="0" w:color="auto"/>
          </w:divBdr>
        </w:div>
        <w:div w:id="606230074">
          <w:marLeft w:val="547"/>
          <w:marRight w:val="0"/>
          <w:marTop w:val="77"/>
          <w:marBottom w:val="0"/>
          <w:divBdr>
            <w:top w:val="none" w:sz="0" w:space="0" w:color="auto"/>
            <w:left w:val="none" w:sz="0" w:space="0" w:color="auto"/>
            <w:bottom w:val="none" w:sz="0" w:space="0" w:color="auto"/>
            <w:right w:val="none" w:sz="0" w:space="0" w:color="auto"/>
          </w:divBdr>
        </w:div>
        <w:div w:id="67388935">
          <w:marLeft w:val="547"/>
          <w:marRight w:val="0"/>
          <w:marTop w:val="77"/>
          <w:marBottom w:val="0"/>
          <w:divBdr>
            <w:top w:val="none" w:sz="0" w:space="0" w:color="auto"/>
            <w:left w:val="none" w:sz="0" w:space="0" w:color="auto"/>
            <w:bottom w:val="none" w:sz="0" w:space="0" w:color="auto"/>
            <w:right w:val="none" w:sz="0" w:space="0" w:color="auto"/>
          </w:divBdr>
        </w:div>
        <w:div w:id="1172992890">
          <w:marLeft w:val="547"/>
          <w:marRight w:val="0"/>
          <w:marTop w:val="77"/>
          <w:marBottom w:val="0"/>
          <w:divBdr>
            <w:top w:val="none" w:sz="0" w:space="0" w:color="auto"/>
            <w:left w:val="none" w:sz="0" w:space="0" w:color="auto"/>
            <w:bottom w:val="none" w:sz="0" w:space="0" w:color="auto"/>
            <w:right w:val="none" w:sz="0" w:space="0" w:color="auto"/>
          </w:divBdr>
        </w:div>
        <w:div w:id="461771494">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mercola.com/sites/articles/archive/2017/04/09/" TargetMode="External"/><Relationship Id="rId3" Type="http://schemas.openxmlformats.org/officeDocument/2006/relationships/settings" Target="settings.xml"/><Relationship Id="rId7" Type="http://schemas.openxmlformats.org/officeDocument/2006/relationships/hyperlink" Target="https://articles.mercola.com/sites/articles/archive/2017/04/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ticles.mercola.com/sites/articles/archive/2017/04/09/" TargetMode="External"/><Relationship Id="rId11" Type="http://schemas.openxmlformats.org/officeDocument/2006/relationships/fontTable" Target="fontTable.xml"/><Relationship Id="rId5" Type="http://schemas.openxmlformats.org/officeDocument/2006/relationships/hyperlink" Target="https://articles.mercola.com/sites/articles/archive/2017/04/09/" TargetMode="External"/><Relationship Id="rId10" Type="http://schemas.openxmlformats.org/officeDocument/2006/relationships/hyperlink" Target="http://dx.doi.org/10.1084/jem.20181169" TargetMode="External"/><Relationship Id="rId4" Type="http://schemas.openxmlformats.org/officeDocument/2006/relationships/webSettings" Target="webSettings.xml"/><Relationship Id="rId9" Type="http://schemas.openxmlformats.org/officeDocument/2006/relationships/hyperlink" Target="https://articles.mercola.com/sites/articles/archive/2017/0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deSilva, Prasanna (Community South CBU)</dc:creator>
  <cp:keywords/>
  <dc:description/>
  <cp:lastModifiedBy>deSilva, Prasanna (Community South CBU)</cp:lastModifiedBy>
  <cp:revision>1</cp:revision>
  <dcterms:created xsi:type="dcterms:W3CDTF">2021-06-21T17:54:00Z</dcterms:created>
  <dcterms:modified xsi:type="dcterms:W3CDTF">2021-06-21T17:57:00Z</dcterms:modified>
</cp:coreProperties>
</file>