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FA3" w:rsidRDefault="009A28BF" w:rsidP="00494130">
      <w:pPr>
        <w:pStyle w:val="Heading1"/>
        <w:spacing w:before="170"/>
        <w:ind w:left="0"/>
        <w:rPr>
          <w:color w:val="337AB7"/>
        </w:rPr>
      </w:pPr>
      <w:r>
        <w:rPr>
          <w:color w:val="337AB7"/>
        </w:rPr>
        <w:t xml:space="preserve">Synthesis and </w:t>
      </w:r>
      <w:r w:rsidR="00E81107" w:rsidRPr="00E81107">
        <w:rPr>
          <w:i/>
          <w:color w:val="337AB7"/>
        </w:rPr>
        <w:t>in vitro</w:t>
      </w:r>
      <w:r w:rsidR="00E81107">
        <w:rPr>
          <w:color w:val="337AB7"/>
        </w:rPr>
        <w:t xml:space="preserve"> </w:t>
      </w:r>
      <w:r>
        <w:rPr>
          <w:color w:val="337AB7"/>
        </w:rPr>
        <w:t>anti</w:t>
      </w:r>
      <w:r w:rsidR="00B151CB">
        <w:rPr>
          <w:color w:val="337AB7"/>
        </w:rPr>
        <w:t>tumor</w:t>
      </w:r>
      <w:r w:rsidR="00EB0DB7">
        <w:rPr>
          <w:color w:val="337AB7"/>
        </w:rPr>
        <w:t xml:space="preserve"> activity of novel </w:t>
      </w:r>
      <w:r w:rsidR="00E91483">
        <w:rPr>
          <w:color w:val="337AB7"/>
        </w:rPr>
        <w:t xml:space="preserve">6-amidino‐substituted </w:t>
      </w:r>
      <w:r w:rsidR="00F45158">
        <w:rPr>
          <w:color w:val="337AB7"/>
        </w:rPr>
        <w:t>2-</w:t>
      </w:r>
      <w:r w:rsidR="00CE3F8B">
        <w:rPr>
          <w:color w:val="337AB7"/>
        </w:rPr>
        <w:t>alk</w:t>
      </w:r>
      <w:r w:rsidR="00EB0DB7" w:rsidRPr="00EB0DB7">
        <w:rPr>
          <w:color w:val="337AB7"/>
        </w:rPr>
        <w:t>yl‐</w:t>
      </w:r>
      <w:r w:rsidRPr="00EB0DB7">
        <w:rPr>
          <w:color w:val="337AB7"/>
        </w:rPr>
        <w:t>bis</w:t>
      </w:r>
      <w:r w:rsidR="00EB0DB7" w:rsidRPr="00EB0DB7">
        <w:rPr>
          <w:color w:val="337AB7"/>
        </w:rPr>
        <w:t>benzothiazoles</w:t>
      </w:r>
    </w:p>
    <w:p w:rsidR="00047FA3" w:rsidRPr="00047FA3" w:rsidRDefault="00047FA3" w:rsidP="00047FA3">
      <w:pPr>
        <w:pStyle w:val="BodyText"/>
        <w:ind w:right="765"/>
        <w:jc w:val="both"/>
        <w:rPr>
          <w:rFonts w:ascii="Arial" w:hAnsi="Arial" w:cs="Arial"/>
          <w:sz w:val="20"/>
          <w:szCs w:val="20"/>
        </w:rPr>
      </w:pPr>
      <w:r w:rsidRPr="00047FA3">
        <w:rPr>
          <w:rFonts w:ascii="Arial" w:hAnsi="Arial" w:cs="Arial"/>
          <w:b/>
          <w:sz w:val="20"/>
          <w:szCs w:val="20"/>
          <w:u w:val="single"/>
        </w:rPr>
        <w:t xml:space="preserve">Livio </w:t>
      </w:r>
      <w:proofErr w:type="spellStart"/>
      <w:r w:rsidRPr="00047FA3">
        <w:rPr>
          <w:rFonts w:ascii="Arial" w:hAnsi="Arial" w:cs="Arial"/>
          <w:b/>
          <w:sz w:val="20"/>
          <w:szCs w:val="20"/>
          <w:u w:val="single"/>
        </w:rPr>
        <w:t>Racané</w:t>
      </w:r>
      <w:proofErr w:type="spellEnd"/>
      <w:r w:rsidR="00853640">
        <w:rPr>
          <w:rFonts w:ascii="Arial" w:hAnsi="Arial" w:cs="Arial"/>
          <w:b/>
          <w:sz w:val="20"/>
          <w:szCs w:val="20"/>
        </w:rPr>
        <w:t xml:space="preserve"> and</w:t>
      </w:r>
      <w:r w:rsidRPr="00047FA3">
        <w:rPr>
          <w:rFonts w:ascii="Arial" w:hAnsi="Arial" w:cs="Arial"/>
          <w:b/>
          <w:sz w:val="20"/>
          <w:szCs w:val="20"/>
        </w:rPr>
        <w:t xml:space="preserve"> </w:t>
      </w:r>
      <w:proofErr w:type="spellStart"/>
      <w:r w:rsidRPr="00047FA3">
        <w:rPr>
          <w:rFonts w:ascii="Arial" w:hAnsi="Arial" w:cs="Arial"/>
          <w:b/>
          <w:sz w:val="20"/>
          <w:szCs w:val="20"/>
        </w:rPr>
        <w:t>Lucija</w:t>
      </w:r>
      <w:proofErr w:type="spellEnd"/>
      <w:r w:rsidRPr="00047FA3">
        <w:rPr>
          <w:rFonts w:ascii="Arial" w:hAnsi="Arial" w:cs="Arial"/>
          <w:b/>
          <w:sz w:val="20"/>
          <w:szCs w:val="20"/>
        </w:rPr>
        <w:t xml:space="preserve"> </w:t>
      </w:r>
      <w:proofErr w:type="spellStart"/>
      <w:r w:rsidRPr="00047FA3">
        <w:rPr>
          <w:rFonts w:ascii="Arial" w:hAnsi="Arial" w:cs="Arial"/>
          <w:b/>
          <w:sz w:val="20"/>
          <w:szCs w:val="20"/>
        </w:rPr>
        <w:t>Ptiček</w:t>
      </w:r>
      <w:proofErr w:type="spellEnd"/>
      <w:r w:rsidRPr="00047FA3">
        <w:rPr>
          <w:rFonts w:ascii="Arial" w:hAnsi="Arial" w:cs="Arial"/>
          <w:sz w:val="20"/>
          <w:szCs w:val="20"/>
        </w:rPr>
        <w:t xml:space="preserve">, Department of </w:t>
      </w:r>
      <w:r>
        <w:rPr>
          <w:rFonts w:ascii="Arial" w:hAnsi="Arial" w:cs="Arial"/>
          <w:sz w:val="20"/>
          <w:szCs w:val="20"/>
        </w:rPr>
        <w:t>Applied</w:t>
      </w:r>
      <w:r w:rsidRPr="00047FA3">
        <w:rPr>
          <w:rFonts w:ascii="Arial" w:hAnsi="Arial" w:cs="Arial"/>
          <w:sz w:val="20"/>
          <w:szCs w:val="20"/>
        </w:rPr>
        <w:t xml:space="preserve"> Chemistry</w:t>
      </w:r>
      <w:r w:rsidR="00A27EDB">
        <w:rPr>
          <w:rFonts w:ascii="Arial" w:hAnsi="Arial" w:cs="Arial"/>
          <w:sz w:val="20"/>
          <w:szCs w:val="20"/>
        </w:rPr>
        <w:t>,</w:t>
      </w:r>
      <w:r w:rsidRPr="00047FA3">
        <w:rPr>
          <w:rFonts w:ascii="Arial" w:hAnsi="Arial" w:cs="Arial"/>
          <w:sz w:val="20"/>
          <w:szCs w:val="20"/>
        </w:rPr>
        <w:t xml:space="preserve"> Faculty of </w:t>
      </w:r>
      <w:r>
        <w:rPr>
          <w:rFonts w:ascii="Arial" w:hAnsi="Arial" w:cs="Arial"/>
          <w:sz w:val="20"/>
          <w:szCs w:val="20"/>
        </w:rPr>
        <w:t xml:space="preserve">Textile </w:t>
      </w:r>
      <w:r w:rsidRPr="00047FA3">
        <w:rPr>
          <w:rFonts w:ascii="Arial" w:hAnsi="Arial" w:cs="Arial"/>
          <w:sz w:val="20"/>
          <w:szCs w:val="20"/>
        </w:rPr>
        <w:t>Technology</w:t>
      </w:r>
      <w:r w:rsidR="00A27EDB">
        <w:rPr>
          <w:rFonts w:ascii="Arial" w:hAnsi="Arial" w:cs="Arial"/>
          <w:sz w:val="20"/>
          <w:szCs w:val="20"/>
        </w:rPr>
        <w:t>,</w:t>
      </w:r>
      <w:r w:rsidRPr="00047FA3">
        <w:rPr>
          <w:rFonts w:ascii="Arial" w:hAnsi="Arial" w:cs="Arial"/>
          <w:sz w:val="20"/>
          <w:szCs w:val="20"/>
        </w:rPr>
        <w:t xml:space="preserve"> University of Zagreb, Zagreb, Croatia </w:t>
      </w:r>
    </w:p>
    <w:p w:rsidR="00047FA3" w:rsidRPr="00047FA3" w:rsidRDefault="00853640" w:rsidP="00047FA3">
      <w:pPr>
        <w:rPr>
          <w:rFonts w:ascii="Arial" w:hAnsi="Arial" w:cs="Arial"/>
          <w:sz w:val="20"/>
          <w:szCs w:val="20"/>
        </w:rPr>
      </w:pPr>
      <w:r>
        <w:rPr>
          <w:rFonts w:ascii="Arial" w:hAnsi="Arial" w:cs="Arial"/>
          <w:b/>
          <w:sz w:val="20"/>
          <w:szCs w:val="20"/>
        </w:rPr>
        <w:t xml:space="preserve">Petra </w:t>
      </w:r>
      <w:proofErr w:type="spellStart"/>
      <w:r>
        <w:rPr>
          <w:rFonts w:ascii="Arial" w:hAnsi="Arial" w:cs="Arial"/>
          <w:b/>
          <w:sz w:val="20"/>
          <w:szCs w:val="20"/>
        </w:rPr>
        <w:t>Grbčić</w:t>
      </w:r>
      <w:proofErr w:type="spellEnd"/>
      <w:r>
        <w:rPr>
          <w:rFonts w:ascii="Arial" w:hAnsi="Arial" w:cs="Arial"/>
          <w:b/>
          <w:sz w:val="20"/>
          <w:szCs w:val="20"/>
        </w:rPr>
        <w:t xml:space="preserve"> and Sandra </w:t>
      </w:r>
      <w:proofErr w:type="spellStart"/>
      <w:r>
        <w:rPr>
          <w:rFonts w:ascii="Arial" w:hAnsi="Arial" w:cs="Arial"/>
          <w:b/>
          <w:sz w:val="20"/>
          <w:szCs w:val="20"/>
        </w:rPr>
        <w:t>Kraljević</w:t>
      </w:r>
      <w:proofErr w:type="spellEnd"/>
      <w:r>
        <w:rPr>
          <w:rFonts w:ascii="Arial" w:hAnsi="Arial" w:cs="Arial"/>
          <w:b/>
          <w:sz w:val="20"/>
          <w:szCs w:val="20"/>
        </w:rPr>
        <w:t xml:space="preserve"> </w:t>
      </w:r>
      <w:proofErr w:type="spellStart"/>
      <w:r>
        <w:rPr>
          <w:rFonts w:ascii="Arial" w:hAnsi="Arial" w:cs="Arial"/>
          <w:b/>
          <w:sz w:val="20"/>
          <w:szCs w:val="20"/>
        </w:rPr>
        <w:t>Pavelić</w:t>
      </w:r>
      <w:proofErr w:type="spellEnd"/>
      <w:r w:rsidRPr="00853640">
        <w:rPr>
          <w:rFonts w:ascii="Arial" w:hAnsi="Arial" w:cs="Arial"/>
          <w:sz w:val="20"/>
          <w:szCs w:val="20"/>
        </w:rPr>
        <w:t>,</w:t>
      </w:r>
      <w:r>
        <w:rPr>
          <w:rFonts w:ascii="Arial" w:hAnsi="Arial" w:cs="Arial"/>
          <w:b/>
          <w:sz w:val="20"/>
          <w:szCs w:val="20"/>
        </w:rPr>
        <w:t xml:space="preserve"> </w:t>
      </w:r>
      <w:r w:rsidRPr="00047FA3">
        <w:rPr>
          <w:rFonts w:ascii="Arial" w:hAnsi="Arial" w:cs="Arial"/>
          <w:sz w:val="20"/>
          <w:szCs w:val="20"/>
        </w:rPr>
        <w:t>Department of</w:t>
      </w:r>
      <w:r>
        <w:rPr>
          <w:rFonts w:ascii="Arial" w:hAnsi="Arial" w:cs="Arial"/>
          <w:sz w:val="20"/>
          <w:szCs w:val="20"/>
        </w:rPr>
        <w:t xml:space="preserve"> Biotechnology, Centre for </w:t>
      </w:r>
      <w:r w:rsidRPr="00853640">
        <w:rPr>
          <w:rFonts w:ascii="Arial" w:hAnsi="Arial" w:cs="Arial"/>
          <w:sz w:val="20"/>
          <w:szCs w:val="20"/>
        </w:rPr>
        <w:t>High</w:t>
      </w:r>
      <w:r w:rsidRPr="00853640">
        <w:rPr>
          <w:rFonts w:ascii="Cambria Math" w:hAnsi="Cambria Math" w:cs="Cambria Math"/>
          <w:sz w:val="20"/>
          <w:szCs w:val="20"/>
        </w:rPr>
        <w:t>‐</w:t>
      </w:r>
      <w:r w:rsidRPr="00853640">
        <w:rPr>
          <w:rFonts w:ascii="Arial" w:hAnsi="Arial" w:cs="Arial"/>
          <w:sz w:val="20"/>
          <w:szCs w:val="20"/>
        </w:rPr>
        <w:t>throughput</w:t>
      </w:r>
      <w:r>
        <w:rPr>
          <w:rFonts w:ascii="Arial" w:hAnsi="Arial" w:cs="Arial"/>
          <w:sz w:val="20"/>
          <w:szCs w:val="20"/>
        </w:rPr>
        <w:t xml:space="preserve"> </w:t>
      </w:r>
      <w:r w:rsidRPr="00853640">
        <w:rPr>
          <w:rFonts w:ascii="Arial" w:hAnsi="Arial" w:cs="Arial"/>
          <w:sz w:val="20"/>
          <w:szCs w:val="20"/>
        </w:rPr>
        <w:t>Technologies</w:t>
      </w:r>
      <w:r>
        <w:rPr>
          <w:rFonts w:ascii="Arial" w:hAnsi="Arial" w:cs="Arial"/>
          <w:sz w:val="20"/>
          <w:szCs w:val="20"/>
        </w:rPr>
        <w:t xml:space="preserve"> </w:t>
      </w:r>
      <w:r w:rsidRPr="00853640">
        <w:rPr>
          <w:rFonts w:ascii="Arial" w:hAnsi="Arial" w:cs="Arial"/>
          <w:sz w:val="20"/>
          <w:szCs w:val="20"/>
        </w:rPr>
        <w:t>University</w:t>
      </w:r>
      <w:r>
        <w:rPr>
          <w:rFonts w:ascii="Arial" w:hAnsi="Arial" w:cs="Arial"/>
          <w:sz w:val="20"/>
          <w:szCs w:val="20"/>
        </w:rPr>
        <w:t xml:space="preserve"> </w:t>
      </w:r>
      <w:r w:rsidRPr="00853640">
        <w:rPr>
          <w:rFonts w:ascii="Arial" w:hAnsi="Arial" w:cs="Arial"/>
          <w:sz w:val="20"/>
          <w:szCs w:val="20"/>
        </w:rPr>
        <w:t>of</w:t>
      </w:r>
      <w:r>
        <w:rPr>
          <w:rFonts w:ascii="Arial" w:hAnsi="Arial" w:cs="Arial"/>
          <w:sz w:val="20"/>
          <w:szCs w:val="20"/>
        </w:rPr>
        <w:t xml:space="preserve"> </w:t>
      </w:r>
      <w:r w:rsidRPr="00853640">
        <w:rPr>
          <w:rFonts w:ascii="Arial" w:hAnsi="Arial" w:cs="Arial"/>
          <w:sz w:val="20"/>
          <w:szCs w:val="20"/>
        </w:rPr>
        <w:t>Rijeka,</w:t>
      </w:r>
      <w:r>
        <w:rPr>
          <w:rFonts w:ascii="Arial" w:hAnsi="Arial" w:cs="Arial"/>
          <w:sz w:val="20"/>
          <w:szCs w:val="20"/>
        </w:rPr>
        <w:t xml:space="preserve"> </w:t>
      </w:r>
      <w:r w:rsidRPr="00853640">
        <w:rPr>
          <w:rFonts w:ascii="Arial" w:hAnsi="Arial" w:cs="Arial"/>
          <w:sz w:val="20"/>
          <w:szCs w:val="20"/>
        </w:rPr>
        <w:t>Rijeka,</w:t>
      </w:r>
      <w:r>
        <w:rPr>
          <w:rFonts w:ascii="Arial" w:hAnsi="Arial" w:cs="Arial"/>
          <w:sz w:val="20"/>
          <w:szCs w:val="20"/>
        </w:rPr>
        <w:t xml:space="preserve"> </w:t>
      </w:r>
      <w:r w:rsidRPr="00853640">
        <w:rPr>
          <w:rFonts w:ascii="Arial" w:hAnsi="Arial" w:cs="Arial"/>
          <w:sz w:val="20"/>
          <w:szCs w:val="20"/>
        </w:rPr>
        <w:t>Croatia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Pr="002A2BBA" w:rsidRDefault="00A9710C" w:rsidP="0083738C">
      <w:pPr>
        <w:pStyle w:val="BodyText"/>
        <w:spacing w:before="90" w:line="280" w:lineRule="auto"/>
        <w:ind w:left="100"/>
        <w:jc w:val="both"/>
        <w:rPr>
          <w:lang w:val="en-GB"/>
        </w:rPr>
      </w:pPr>
      <w:r w:rsidRPr="00BC119A">
        <w:rPr>
          <w:i/>
        </w:rPr>
        <w:t>Statement of the Problem</w:t>
      </w:r>
      <w:r w:rsidRPr="002A2BBA">
        <w:t xml:space="preserve">: </w:t>
      </w:r>
      <w:r w:rsidR="00A57402" w:rsidRPr="002A2BBA">
        <w:rPr>
          <w:lang w:val="en-GB"/>
        </w:rPr>
        <w:t xml:space="preserve">Classical chemotherapy, based on </w:t>
      </w:r>
      <w:r w:rsidR="00A27EDB">
        <w:rPr>
          <w:lang w:val="en-GB"/>
        </w:rPr>
        <w:t xml:space="preserve">the </w:t>
      </w:r>
      <w:r w:rsidR="00A57402" w:rsidRPr="002A2BBA">
        <w:rPr>
          <w:lang w:val="en-GB"/>
        </w:rPr>
        <w:t>use of small molecules or bioactive natural products, is still the mainstay for cancer treatment that aims at major cellular targets such as DNA, tubulin or protein kinases. Even though chemotherapy remains the standard cancer therapy option, the use of available chemotherapeutics is rather limited due to severe side effects or a limited choice of available anticancer drugs. This clearly underscores the need for development of more effective cancer treatments and new class of chemotherapeutics.</w:t>
      </w:r>
      <w:r w:rsidR="002E6E3A" w:rsidRPr="002A2BBA">
        <w:rPr>
          <w:lang w:val="en-GB"/>
        </w:rPr>
        <w:t xml:space="preserve"> </w:t>
      </w:r>
      <w:r w:rsidR="00A57402" w:rsidRPr="00BC119A">
        <w:rPr>
          <w:i/>
        </w:rPr>
        <w:t>Methodology &amp; Theoretical Orientation</w:t>
      </w:r>
      <w:r w:rsidR="00A57402" w:rsidRPr="002A2BBA">
        <w:t>:</w:t>
      </w:r>
      <w:r w:rsidR="00A57402" w:rsidRPr="002A2BBA">
        <w:rPr>
          <w:lang w:val="en-GB"/>
        </w:rPr>
        <w:t xml:space="preserve"> B</w:t>
      </w:r>
      <w:proofErr w:type="spellStart"/>
      <w:r w:rsidR="00A535A8" w:rsidRPr="002A2BBA">
        <w:t>enzothiazoles</w:t>
      </w:r>
      <w:proofErr w:type="spellEnd"/>
      <w:r w:rsidR="00A535A8" w:rsidRPr="002A2BBA">
        <w:t xml:space="preserve"> and their derivatives have shown a wide range of biological activities such as anticancer, antimicrobial, antiviral and antioxidant.</w:t>
      </w:r>
      <w:r w:rsidR="00A57402" w:rsidRPr="002A2BBA">
        <w:rPr>
          <w:lang w:val="en-GB"/>
        </w:rPr>
        <w:t xml:space="preserve"> </w:t>
      </w:r>
      <w:r w:rsidR="00E91483" w:rsidRPr="002A2BBA">
        <w:t xml:space="preserve">In continuation of our </w:t>
      </w:r>
      <w:r w:rsidR="00A57402" w:rsidRPr="002A2BBA">
        <w:t>recent studies</w:t>
      </w:r>
      <w:r w:rsidR="00E91483" w:rsidRPr="002A2BBA">
        <w:t xml:space="preserve"> in the synthesis and evaluation of </w:t>
      </w:r>
      <w:proofErr w:type="spellStart"/>
      <w:r w:rsidR="00E91483" w:rsidRPr="002A2BBA">
        <w:t>antiproliferative</w:t>
      </w:r>
      <w:proofErr w:type="spellEnd"/>
      <w:r w:rsidR="00E91483" w:rsidRPr="002A2BBA">
        <w:t xml:space="preserve"> activities of </w:t>
      </w:r>
      <w:proofErr w:type="spellStart"/>
      <w:r w:rsidR="00E91483" w:rsidRPr="002A2BBA">
        <w:t>amidino</w:t>
      </w:r>
      <w:proofErr w:type="spellEnd"/>
      <w:r w:rsidR="00E91483" w:rsidRPr="002A2BBA">
        <w:t>-substituted 2-</w:t>
      </w:r>
      <w:proofErr w:type="gramStart"/>
      <w:r w:rsidR="00E91483" w:rsidRPr="002A2BBA">
        <w:t>aryl(</w:t>
      </w:r>
      <w:proofErr w:type="spellStart"/>
      <w:proofErr w:type="gramEnd"/>
      <w:r w:rsidR="00E91483" w:rsidRPr="002A2BBA">
        <w:t>heteroaryl</w:t>
      </w:r>
      <w:proofErr w:type="spellEnd"/>
      <w:r w:rsidR="00E91483" w:rsidRPr="002A2BBA">
        <w:t>)</w:t>
      </w:r>
      <w:proofErr w:type="spellStart"/>
      <w:r w:rsidR="00E91483" w:rsidRPr="002A2BBA">
        <w:t>bisbenzothiazole</w:t>
      </w:r>
      <w:proofErr w:type="spellEnd"/>
      <w:r w:rsidR="00E91483" w:rsidRPr="002A2BBA">
        <w:t xml:space="preserve"> derivatives, we present here the design, synthesis and structure-activity relationships of a series of </w:t>
      </w:r>
      <w:proofErr w:type="spellStart"/>
      <w:r w:rsidR="00E91483" w:rsidRPr="002A2BBA">
        <w:t>dicationic</w:t>
      </w:r>
      <w:proofErr w:type="spellEnd"/>
      <w:r w:rsidR="00E91483" w:rsidRPr="002A2BBA">
        <w:t xml:space="preserve"> 6-amidino-2-alkyl</w:t>
      </w:r>
      <w:r w:rsidR="00744A3A" w:rsidRPr="002A2BBA">
        <w:t>-</w:t>
      </w:r>
      <w:r w:rsidR="00E91483" w:rsidRPr="002A2BBA">
        <w:t xml:space="preserve">bisbenzothiazole derivatives. </w:t>
      </w:r>
      <w:r w:rsidR="0083738C" w:rsidRPr="002A2BBA">
        <w:rPr>
          <w:lang w:val="en-GB"/>
        </w:rPr>
        <w:t xml:space="preserve">The synthesis of </w:t>
      </w:r>
      <w:proofErr w:type="spellStart"/>
      <w:r w:rsidR="0083738C" w:rsidRPr="002A2BBA">
        <w:rPr>
          <w:lang w:val="en-GB"/>
        </w:rPr>
        <w:t>diamidino</w:t>
      </w:r>
      <w:proofErr w:type="spellEnd"/>
      <w:r w:rsidR="0083738C" w:rsidRPr="002A2BBA">
        <w:rPr>
          <w:lang w:val="en-GB"/>
        </w:rPr>
        <w:t xml:space="preserve">-substituted </w:t>
      </w:r>
      <w:proofErr w:type="spellStart"/>
      <w:r w:rsidR="0083738C" w:rsidRPr="002A2BBA">
        <w:rPr>
          <w:lang w:val="en-GB"/>
        </w:rPr>
        <w:t>bisbenzothiazole</w:t>
      </w:r>
      <w:proofErr w:type="spellEnd"/>
      <w:r w:rsidR="0083738C" w:rsidRPr="002A2BBA">
        <w:rPr>
          <w:lang w:val="en-GB"/>
        </w:rPr>
        <w:t xml:space="preserve"> derivatives was performed by condensation reactions of the corresponding 5-amidino-2-aminothiophenole with dicarboxylic acid.</w:t>
      </w:r>
      <w:r w:rsidR="0083738C" w:rsidRPr="002A2BBA">
        <w:t xml:space="preserve"> </w:t>
      </w:r>
      <w:r w:rsidR="00E91483" w:rsidRPr="002A2BBA">
        <w:t xml:space="preserve">The </w:t>
      </w:r>
      <w:proofErr w:type="spellStart"/>
      <w:r w:rsidR="00E91483" w:rsidRPr="002A2BBA">
        <w:t>antiproliferative</w:t>
      </w:r>
      <w:proofErr w:type="spellEnd"/>
      <w:r w:rsidR="00E91483" w:rsidRPr="002A2BBA">
        <w:t xml:space="preserve">, properties of the newly prepared compounds were evaluated </w:t>
      </w:r>
      <w:r w:rsidR="00A94CF2" w:rsidRPr="002A2BBA">
        <w:rPr>
          <w:i/>
        </w:rPr>
        <w:t>in vitro</w:t>
      </w:r>
      <w:r w:rsidR="00A94CF2" w:rsidRPr="002A2BBA">
        <w:t xml:space="preserve"> </w:t>
      </w:r>
      <w:r w:rsidR="00E91483" w:rsidRPr="002A2BBA">
        <w:t>against four human tumor cell lines: colorectal metastatic adenocarcinoma (SW620),</w:t>
      </w:r>
      <w:r w:rsidR="00267CA4" w:rsidRPr="002A2BBA">
        <w:t xml:space="preserve"> </w:t>
      </w:r>
      <w:r w:rsidR="00E91483" w:rsidRPr="002A2BBA">
        <w:t xml:space="preserve">HepG2 (hepatocellular carcinoma), CFPAC-1 (pancreatic adenocarcinoma), HeLa (cervical carcinoma) </w:t>
      </w:r>
      <w:r w:rsidR="002E6E3A" w:rsidRPr="002A2BBA">
        <w:t>using</w:t>
      </w:r>
      <w:r w:rsidR="00A94CF2" w:rsidRPr="002A2BBA">
        <w:t xml:space="preserve"> MTT assay</w:t>
      </w:r>
      <w:r w:rsidR="002E6E3A" w:rsidRPr="002A2BBA">
        <w:t>.</w:t>
      </w:r>
      <w:r w:rsidR="00E91483" w:rsidRPr="002A2BBA">
        <w:t xml:space="preserve"> As a positive control, 5-fluorouracil was used.</w:t>
      </w:r>
      <w:r w:rsidRPr="002A2BBA">
        <w:t xml:space="preserve"> </w:t>
      </w:r>
      <w:r w:rsidRPr="00BC119A">
        <w:rPr>
          <w:i/>
        </w:rPr>
        <w:t>Findings</w:t>
      </w:r>
      <w:r w:rsidRPr="002A2BBA">
        <w:t xml:space="preserve">: </w:t>
      </w:r>
      <w:r w:rsidR="00A27EDB">
        <w:rPr>
          <w:i/>
          <w:iCs/>
          <w:lang w:val="hr-HR"/>
        </w:rPr>
        <w:t>I</w:t>
      </w:r>
      <w:r w:rsidR="002E6E3A" w:rsidRPr="002A2BBA">
        <w:rPr>
          <w:i/>
          <w:iCs/>
          <w:lang w:val="hr-HR"/>
        </w:rPr>
        <w:t xml:space="preserve">n vitro </w:t>
      </w:r>
      <w:r w:rsidR="002E6E3A" w:rsidRPr="002A2BBA">
        <w:rPr>
          <w:lang w:val="hr-HR"/>
        </w:rPr>
        <w:t>anti</w:t>
      </w:r>
      <w:r w:rsidR="002E6E3A" w:rsidRPr="002A2BBA">
        <w:rPr>
          <w:rFonts w:ascii="Cambria Math" w:hAnsi="Cambria Math" w:cs="Cambria Math"/>
          <w:lang w:val="hr-HR"/>
        </w:rPr>
        <w:t>‐</w:t>
      </w:r>
      <w:r w:rsidR="002E6E3A" w:rsidRPr="002A2BBA">
        <w:rPr>
          <w:lang w:val="hr-HR"/>
        </w:rPr>
        <w:t>proliferative screening of novel diamidino</w:t>
      </w:r>
      <w:r w:rsidR="002E6E3A" w:rsidRPr="002A2BBA">
        <w:rPr>
          <w:rFonts w:ascii="Cambria Math" w:hAnsi="Cambria Math" w:cs="Cambria Math"/>
          <w:lang w:val="hr-HR"/>
        </w:rPr>
        <w:t>‐</w:t>
      </w:r>
      <w:r w:rsidR="002E6E3A" w:rsidRPr="002A2BBA">
        <w:rPr>
          <w:lang w:val="hr-HR"/>
        </w:rPr>
        <w:t xml:space="preserve">bisbenzothiazolyl derivatives revealed </w:t>
      </w:r>
      <w:r w:rsidR="008665B4" w:rsidRPr="002A2BBA">
        <w:rPr>
          <w:lang w:val="hr-HR"/>
        </w:rPr>
        <w:t xml:space="preserve">moderate to </w:t>
      </w:r>
      <w:r w:rsidR="002E6E3A" w:rsidRPr="002A2BBA">
        <w:rPr>
          <w:lang w:val="hr-HR"/>
        </w:rPr>
        <w:t>strong activity on tested cell lines</w:t>
      </w:r>
      <w:r w:rsidR="00A27EDB">
        <w:rPr>
          <w:lang w:val="hr-HR"/>
        </w:rPr>
        <w:t>,</w:t>
      </w:r>
      <w:r w:rsidR="002E6E3A" w:rsidRPr="002A2BBA">
        <w:rPr>
          <w:lang w:val="hr-HR"/>
        </w:rPr>
        <w:t xml:space="preserve"> depending on the type of amidinic substituent</w:t>
      </w:r>
      <w:r w:rsidR="00A27EDB">
        <w:rPr>
          <w:lang w:val="hr-HR"/>
        </w:rPr>
        <w:t xml:space="preserve">, </w:t>
      </w:r>
      <w:r w:rsidR="008665B4" w:rsidRPr="002A2BBA">
        <w:rPr>
          <w:lang w:val="hr-HR"/>
        </w:rPr>
        <w:t>as well as the length of the alkyl chain.</w:t>
      </w:r>
      <w:r w:rsidR="0083738C" w:rsidRPr="002A2BBA">
        <w:rPr>
          <w:lang w:val="en-GB"/>
        </w:rPr>
        <w:t xml:space="preserve"> </w:t>
      </w:r>
      <w:r w:rsidRPr="00BC119A">
        <w:rPr>
          <w:i/>
        </w:rPr>
        <w:t>Conclusion &amp; Significance</w:t>
      </w:r>
      <w:r w:rsidRPr="002A2BBA">
        <w:t xml:space="preserve">: </w:t>
      </w:r>
      <w:r w:rsidR="00795C61" w:rsidRPr="002A2BBA">
        <w:t xml:space="preserve">Based on these results, some compounds </w:t>
      </w:r>
      <w:proofErr w:type="gramStart"/>
      <w:r w:rsidR="00795C61" w:rsidRPr="002A2BBA">
        <w:t>were chosen</w:t>
      </w:r>
      <w:proofErr w:type="gramEnd"/>
      <w:r w:rsidR="00795C61" w:rsidRPr="002A2BBA">
        <w:t xml:space="preserve"> as the leading compounds for further rationalized design of the </w:t>
      </w:r>
      <w:proofErr w:type="spellStart"/>
      <w:r w:rsidR="00795C61" w:rsidRPr="002A2BBA">
        <w:t>benzothiazole</w:t>
      </w:r>
      <w:proofErr w:type="spellEnd"/>
      <w:r w:rsidR="00795C61" w:rsidRPr="002A2BBA">
        <w:t xml:space="preserve"> skeleton.</w:t>
      </w:r>
    </w:p>
    <w:p w:rsidR="00AE3E37" w:rsidRDefault="00A9710C">
      <w:pPr>
        <w:pStyle w:val="Heading3"/>
        <w:spacing w:before="74"/>
      </w:pPr>
      <w:r>
        <w:rPr>
          <w:b w:val="0"/>
        </w:rPr>
        <w:br w:type="column"/>
      </w:r>
      <w:r>
        <w:rPr>
          <w:color w:val="BF5A14"/>
        </w:rPr>
        <w:t>Image</w:t>
      </w:r>
    </w:p>
    <w:p w:rsidR="00AE3E37" w:rsidRDefault="00E91483" w:rsidP="00E91483">
      <w:pPr>
        <w:pStyle w:val="BodyText"/>
        <w:spacing w:before="2"/>
        <w:jc w:val="center"/>
        <w:rPr>
          <w:rFonts w:ascii="Arial"/>
          <w:b/>
          <w:sz w:val="16"/>
        </w:rPr>
      </w:pPr>
      <w:r>
        <w:object w:dxaOrig="3478" w:dyaOrig="22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112.5pt" o:ole="">
            <v:imagedata r:id="rId9" o:title=""/>
          </v:shape>
          <o:OLEObject Type="Embed" ProgID="ChemDraw.Document.6.0" ShapeID="_x0000_i1025" DrawAspect="Content" ObjectID="_1640670285" r:id="rId10"/>
        </w:object>
      </w:r>
    </w:p>
    <w:p w:rsidR="005973B9" w:rsidRDefault="005973B9" w:rsidP="005973B9">
      <w:pPr>
        <w:spacing w:line="204" w:lineRule="exact"/>
        <w:rPr>
          <w:rFonts w:ascii="Arial"/>
          <w:b/>
          <w:sz w:val="20"/>
        </w:rPr>
      </w:pPr>
      <w:r>
        <w:rPr>
          <w:rFonts w:ascii="Arial"/>
          <w:b/>
          <w:color w:val="BF5A14"/>
          <w:sz w:val="20"/>
        </w:rPr>
        <w:br/>
        <w:t>Recent Publications</w:t>
      </w:r>
    </w:p>
    <w:p w:rsidR="005973B9" w:rsidRPr="002A2BBA" w:rsidRDefault="00960890" w:rsidP="005973B9">
      <w:pPr>
        <w:pStyle w:val="ListParagraph"/>
        <w:numPr>
          <w:ilvl w:val="0"/>
          <w:numId w:val="3"/>
        </w:numPr>
        <w:tabs>
          <w:tab w:val="left" w:pos="384"/>
        </w:tabs>
        <w:spacing w:before="103" w:line="216" w:lineRule="exact"/>
        <w:ind w:right="138" w:hanging="283"/>
        <w:rPr>
          <w:rFonts w:ascii="Tw Cen MT" w:hAnsi="Tw Cen MT"/>
          <w:sz w:val="18"/>
        </w:rPr>
      </w:pPr>
      <w:r w:rsidRPr="002A2BBA">
        <w:rPr>
          <w:rFonts w:ascii="Tw Cen MT" w:hAnsi="Tw Cen MT"/>
          <w:sz w:val="18"/>
          <w:lang w:val="hr-HR"/>
        </w:rPr>
        <w:t>Keri RS, Patil MR</w:t>
      </w:r>
      <w:r w:rsidR="00C90721" w:rsidRPr="002A2BBA">
        <w:rPr>
          <w:rFonts w:ascii="Tw Cen MT" w:hAnsi="Tw Cen MT"/>
          <w:sz w:val="18"/>
          <w:lang w:val="hr-HR"/>
        </w:rPr>
        <w:t xml:space="preserve"> et. al.</w:t>
      </w:r>
      <w:r w:rsidRPr="002A2BBA">
        <w:rPr>
          <w:rFonts w:ascii="Tw Cen MT" w:hAnsi="Tw Cen MT"/>
          <w:sz w:val="18"/>
          <w:lang w:val="hr-HR"/>
        </w:rPr>
        <w:t xml:space="preserve"> (2015) A comprehensive review in current developments of benzothiazole-based molecules in medicinal chemistry. </w:t>
      </w:r>
      <w:r w:rsidR="0016644F" w:rsidRPr="002A2BBA">
        <w:rPr>
          <w:rFonts w:ascii="Tw Cen MT" w:hAnsi="Tw Cen MT"/>
          <w:iCs/>
          <w:sz w:val="18"/>
          <w:lang w:val="hr-HR"/>
        </w:rPr>
        <w:t>Eur J Med Chem</w:t>
      </w:r>
      <w:r w:rsidRPr="002A2BBA">
        <w:rPr>
          <w:rFonts w:ascii="Tw Cen MT" w:hAnsi="Tw Cen MT"/>
          <w:iCs/>
          <w:sz w:val="18"/>
          <w:lang w:val="hr-HR"/>
        </w:rPr>
        <w:t xml:space="preserve">, </w:t>
      </w:r>
      <w:r w:rsidRPr="002A2BBA">
        <w:rPr>
          <w:rFonts w:ascii="Tw Cen MT" w:hAnsi="Tw Cen MT"/>
          <w:sz w:val="18"/>
          <w:lang w:val="hr-HR"/>
        </w:rPr>
        <w:t>89: 207–251.</w:t>
      </w:r>
    </w:p>
    <w:p w:rsidR="005973B9" w:rsidRPr="002A2BBA" w:rsidRDefault="00960890" w:rsidP="005973B9">
      <w:pPr>
        <w:pStyle w:val="ListParagraph"/>
        <w:numPr>
          <w:ilvl w:val="0"/>
          <w:numId w:val="3"/>
        </w:numPr>
        <w:tabs>
          <w:tab w:val="left" w:pos="384"/>
        </w:tabs>
        <w:spacing w:line="216" w:lineRule="exact"/>
        <w:ind w:right="137" w:hanging="283"/>
        <w:rPr>
          <w:rFonts w:ascii="Tw Cen MT" w:hAnsi="Tw Cen MT"/>
          <w:sz w:val="18"/>
        </w:rPr>
      </w:pPr>
      <w:r w:rsidRPr="002A2BBA">
        <w:rPr>
          <w:rFonts w:ascii="Tw Cen MT" w:hAnsi="Tw Cen MT"/>
          <w:sz w:val="18"/>
          <w:lang w:val="hr-HR"/>
        </w:rPr>
        <w:t>Racané L, Pavelić S</w:t>
      </w:r>
      <w:r w:rsidR="0016644F" w:rsidRPr="002A2BBA">
        <w:rPr>
          <w:rFonts w:ascii="Tw Cen MT" w:hAnsi="Tw Cen MT"/>
          <w:sz w:val="18"/>
          <w:lang w:val="hr-HR"/>
        </w:rPr>
        <w:t>K</w:t>
      </w:r>
      <w:r w:rsidRPr="002A2BBA">
        <w:rPr>
          <w:rFonts w:ascii="Tw Cen MT" w:hAnsi="Tw Cen MT"/>
          <w:sz w:val="18"/>
          <w:lang w:val="hr-HR"/>
        </w:rPr>
        <w:t xml:space="preserve">, et al. (2012) Synthesis and antiproliferative evaluation of some new amidino-substituted bis-benzothiazolyl-pyridines and pyrazine. </w:t>
      </w:r>
      <w:r w:rsidR="00C90721" w:rsidRPr="002A2BBA">
        <w:rPr>
          <w:rFonts w:ascii="Tw Cen MT" w:hAnsi="Tw Cen MT"/>
          <w:iCs/>
          <w:sz w:val="18"/>
          <w:lang w:val="hr-HR"/>
        </w:rPr>
        <w:t>Eur</w:t>
      </w:r>
      <w:r w:rsidRPr="002A2BBA">
        <w:rPr>
          <w:rFonts w:ascii="Tw Cen MT" w:hAnsi="Tw Cen MT"/>
          <w:iCs/>
          <w:sz w:val="18"/>
          <w:lang w:val="hr-HR"/>
        </w:rPr>
        <w:t xml:space="preserve"> </w:t>
      </w:r>
      <w:r w:rsidR="00C90721" w:rsidRPr="002A2BBA">
        <w:rPr>
          <w:rFonts w:ascii="Tw Cen MT" w:hAnsi="Tw Cen MT"/>
          <w:iCs/>
          <w:sz w:val="18"/>
          <w:lang w:val="hr-HR"/>
        </w:rPr>
        <w:t>J</w:t>
      </w:r>
      <w:r w:rsidRPr="002A2BBA">
        <w:rPr>
          <w:rFonts w:ascii="Tw Cen MT" w:hAnsi="Tw Cen MT"/>
          <w:iCs/>
          <w:sz w:val="18"/>
          <w:lang w:val="hr-HR"/>
        </w:rPr>
        <w:t xml:space="preserve"> Med Chem</w:t>
      </w:r>
      <w:r w:rsidRPr="002A2BBA">
        <w:rPr>
          <w:rFonts w:ascii="Tw Cen MT" w:hAnsi="Tw Cen MT"/>
          <w:sz w:val="18"/>
          <w:lang w:val="hr-HR"/>
        </w:rPr>
        <w:t>, 55: 108–116.</w:t>
      </w:r>
    </w:p>
    <w:p w:rsidR="005973B9" w:rsidRPr="002A2BBA" w:rsidRDefault="00960890" w:rsidP="005973B9">
      <w:pPr>
        <w:pStyle w:val="ListParagraph"/>
        <w:numPr>
          <w:ilvl w:val="0"/>
          <w:numId w:val="3"/>
        </w:numPr>
        <w:tabs>
          <w:tab w:val="left" w:pos="384"/>
        </w:tabs>
        <w:spacing w:line="216" w:lineRule="exact"/>
        <w:ind w:right="138" w:hanging="283"/>
        <w:rPr>
          <w:rFonts w:ascii="Tw Cen MT" w:hAnsi="Tw Cen MT"/>
          <w:sz w:val="18"/>
        </w:rPr>
      </w:pPr>
      <w:r w:rsidRPr="002A2BBA">
        <w:rPr>
          <w:rFonts w:ascii="Tw Cen MT" w:hAnsi="Tw Cen MT"/>
          <w:sz w:val="18"/>
          <w:lang w:val="hr-HR"/>
        </w:rPr>
        <w:t xml:space="preserve">Racané L, </w:t>
      </w:r>
      <w:r w:rsidR="00C90721" w:rsidRPr="002A2BBA">
        <w:rPr>
          <w:rFonts w:ascii="Tw Cen MT" w:hAnsi="Tw Cen MT"/>
          <w:sz w:val="18"/>
          <w:lang w:val="hr-HR"/>
        </w:rPr>
        <w:t>Pavelić S</w:t>
      </w:r>
      <w:r w:rsidR="0016644F" w:rsidRPr="002A2BBA">
        <w:rPr>
          <w:rFonts w:ascii="Tw Cen MT" w:hAnsi="Tw Cen MT"/>
          <w:sz w:val="18"/>
          <w:lang w:val="hr-HR"/>
        </w:rPr>
        <w:t>K</w:t>
      </w:r>
      <w:r w:rsidRPr="002A2BBA">
        <w:rPr>
          <w:rFonts w:ascii="Tw Cen MT" w:hAnsi="Tw Cen MT"/>
          <w:sz w:val="18"/>
          <w:lang w:val="hr-HR"/>
        </w:rPr>
        <w:t>, et al. (2013) New anticancer active and selective phenylene-bisbenzothiazoles: Synthesis, anti</w:t>
      </w:r>
      <w:r w:rsidR="0016644F" w:rsidRPr="002A2BBA">
        <w:rPr>
          <w:rFonts w:ascii="Tw Cen MT" w:hAnsi="Tw Cen MT"/>
          <w:sz w:val="18"/>
          <w:lang w:val="hr-HR"/>
        </w:rPr>
        <w:t>-</w:t>
      </w:r>
      <w:r w:rsidRPr="002A2BBA">
        <w:rPr>
          <w:rFonts w:ascii="Tw Cen MT" w:hAnsi="Tw Cen MT"/>
          <w:sz w:val="18"/>
          <w:lang w:val="hr-HR"/>
        </w:rPr>
        <w:t>proliferative evaluation and DNA binding.</w:t>
      </w:r>
      <w:r w:rsidRPr="002A2BBA">
        <w:rPr>
          <w:rFonts w:ascii="Tw Cen MT" w:hAnsi="Tw Cen MT"/>
          <w:i/>
          <w:iCs/>
          <w:sz w:val="18"/>
          <w:lang w:val="hr-HR"/>
        </w:rPr>
        <w:t xml:space="preserve"> </w:t>
      </w:r>
      <w:r w:rsidR="00C90721" w:rsidRPr="002A2BBA">
        <w:rPr>
          <w:rFonts w:ascii="Tw Cen MT" w:hAnsi="Tw Cen MT"/>
          <w:iCs/>
          <w:sz w:val="18"/>
          <w:lang w:val="hr-HR"/>
        </w:rPr>
        <w:t>Eur J Med Chem,</w:t>
      </w:r>
      <w:r w:rsidRPr="002A2BBA">
        <w:rPr>
          <w:rFonts w:ascii="Tw Cen MT" w:hAnsi="Tw Cen MT"/>
          <w:sz w:val="18"/>
          <w:lang w:val="hr-HR"/>
        </w:rPr>
        <w:t xml:space="preserve"> 63: 882–891.</w:t>
      </w:r>
    </w:p>
    <w:p w:rsidR="005973B9" w:rsidRPr="002A2BBA" w:rsidRDefault="00960890" w:rsidP="00960890">
      <w:pPr>
        <w:pStyle w:val="ListParagraph"/>
        <w:numPr>
          <w:ilvl w:val="0"/>
          <w:numId w:val="3"/>
        </w:numPr>
        <w:tabs>
          <w:tab w:val="left" w:pos="384"/>
        </w:tabs>
        <w:spacing w:line="216" w:lineRule="exact"/>
        <w:ind w:right="138" w:hanging="283"/>
        <w:rPr>
          <w:rFonts w:ascii="Tw Cen MT" w:hAnsi="Tw Cen MT"/>
          <w:sz w:val="18"/>
          <w:szCs w:val="18"/>
        </w:rPr>
      </w:pPr>
      <w:r w:rsidRPr="002A2BBA">
        <w:rPr>
          <w:rFonts w:ascii="Tw Cen MT" w:hAnsi="Tw Cen MT"/>
          <w:sz w:val="18"/>
          <w:szCs w:val="18"/>
          <w:lang w:val="hr-HR"/>
        </w:rPr>
        <w:t xml:space="preserve">Racané L, Ptiček L, et al. (2018) Eco-friendly synthesis, in vitro anti-proliferative evaluation, and 3D-QSAR analysis of a novel series of monocationic 2-aryl/heteroaryl-substituted 6-(2-imidazolinyl)benzothiazole mesylates. </w:t>
      </w:r>
      <w:r w:rsidR="0016644F" w:rsidRPr="002A2BBA">
        <w:rPr>
          <w:rFonts w:ascii="Tw Cen MT" w:hAnsi="Tw Cen MT"/>
          <w:iCs/>
          <w:sz w:val="18"/>
          <w:szCs w:val="18"/>
          <w:lang w:val="hr-HR"/>
        </w:rPr>
        <w:t>Mol Div,</w:t>
      </w:r>
      <w:r w:rsidRPr="002A2BBA">
        <w:rPr>
          <w:rFonts w:ascii="Tw Cen MT" w:hAnsi="Tw Cen MT"/>
          <w:iCs/>
          <w:sz w:val="18"/>
          <w:szCs w:val="18"/>
          <w:lang w:val="hr-HR"/>
        </w:rPr>
        <w:t xml:space="preserve"> 22</w:t>
      </w:r>
      <w:r w:rsidRPr="002A2BBA">
        <w:rPr>
          <w:rFonts w:ascii="Tw Cen MT" w:hAnsi="Tw Cen MT"/>
          <w:sz w:val="18"/>
          <w:szCs w:val="18"/>
          <w:lang w:val="hr-HR"/>
        </w:rPr>
        <w:t>: 723–741.</w:t>
      </w:r>
    </w:p>
    <w:p w:rsidR="00AE3E37" w:rsidRPr="002A2BBA" w:rsidRDefault="00C90721" w:rsidP="002A2BBA">
      <w:pPr>
        <w:pStyle w:val="ListParagraph"/>
        <w:numPr>
          <w:ilvl w:val="0"/>
          <w:numId w:val="3"/>
        </w:numPr>
        <w:tabs>
          <w:tab w:val="left" w:pos="384"/>
        </w:tabs>
        <w:spacing w:line="216" w:lineRule="exact"/>
        <w:ind w:right="138" w:hanging="283"/>
        <w:rPr>
          <w:rFonts w:ascii="Tw Cen MT" w:hAnsi="Tw Cen MT"/>
          <w:sz w:val="18"/>
          <w:szCs w:val="18"/>
        </w:rPr>
        <w:sectPr w:rsidR="00AE3E37" w:rsidRPr="002A2BBA">
          <w:type w:val="continuous"/>
          <w:pgSz w:w="11910" w:h="16840"/>
          <w:pgMar w:top="1740" w:right="600" w:bottom="840" w:left="620" w:header="720" w:footer="720" w:gutter="0"/>
          <w:cols w:num="2" w:space="720" w:equalWidth="0">
            <w:col w:w="5214" w:space="138"/>
            <w:col w:w="5338"/>
          </w:cols>
        </w:sectPr>
      </w:pPr>
      <w:r w:rsidRPr="002A2BBA">
        <w:rPr>
          <w:rFonts w:ascii="Tw Cen MT" w:hAnsi="Tw Cen MT"/>
          <w:sz w:val="18"/>
          <w:szCs w:val="18"/>
          <w:lang w:val="hr-HR"/>
        </w:rPr>
        <w:t>Racané L, Ptiček L, et al. (2020) Green synthesis and biological evaluation of 6-substituted-2-(2-hydroxy/methoxy phenyl)</w:t>
      </w:r>
      <w:r w:rsidR="0016644F" w:rsidRPr="002A2BBA">
        <w:rPr>
          <w:rFonts w:ascii="Tw Cen MT" w:hAnsi="Tw Cen MT"/>
          <w:sz w:val="18"/>
          <w:szCs w:val="18"/>
          <w:lang w:val="hr-HR"/>
        </w:rPr>
        <w:t xml:space="preserve"> </w:t>
      </w:r>
      <w:r w:rsidRPr="002A2BBA">
        <w:rPr>
          <w:rFonts w:ascii="Tw Cen MT" w:hAnsi="Tw Cen MT"/>
          <w:sz w:val="18"/>
          <w:szCs w:val="18"/>
          <w:lang w:val="hr-HR"/>
        </w:rPr>
        <w:t xml:space="preserve">benzothiazole derivatives as potential antioxidant, antibacterial and antitumor agents’, </w:t>
      </w:r>
      <w:r w:rsidR="0016644F" w:rsidRPr="002A2BBA">
        <w:rPr>
          <w:rFonts w:ascii="Tw Cen MT" w:hAnsi="Tw Cen MT"/>
          <w:iCs/>
          <w:sz w:val="18"/>
          <w:szCs w:val="18"/>
          <w:lang w:val="hr-HR"/>
        </w:rPr>
        <w:t>Bioorg Chem</w:t>
      </w:r>
      <w:r w:rsidRPr="002A2BBA">
        <w:rPr>
          <w:rFonts w:ascii="Tw Cen MT" w:hAnsi="Tw Cen MT"/>
          <w:sz w:val="18"/>
          <w:szCs w:val="18"/>
          <w:lang w:val="hr-HR"/>
        </w:rPr>
        <w:t>, 95: 103537</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hr-HR" w:eastAsia="hr-H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919B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53640">
        <w:rPr>
          <w:noProof/>
          <w:lang w:val="hr-HR" w:eastAsia="hr-HR"/>
        </w:rPr>
        <w:drawing>
          <wp:inline distT="0" distB="0" distL="0" distR="0" wp14:anchorId="2CDA1E9D" wp14:editId="46D5430E">
            <wp:extent cx="621792" cy="621792"/>
            <wp:effectExtent l="0" t="0" r="6985" b="6985"/>
            <wp:docPr id="2" name="Picture 2" descr="C:\Users\Livio\Desktop\Livio_Rac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vio\Desktop\Livio_Racan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1777" cy="621777"/>
                    </a:xfrm>
                    <a:prstGeom prst="rect">
                      <a:avLst/>
                    </a:prstGeom>
                    <a:noFill/>
                    <a:ln>
                      <a:noFill/>
                    </a:ln>
                  </pic:spPr>
                </pic:pic>
              </a:graphicData>
            </a:graphic>
          </wp:inline>
        </w:drawing>
      </w:r>
      <w:r w:rsidR="00A9710C">
        <w:rPr>
          <w:rFonts w:ascii="Arial"/>
          <w:color w:val="BF5A14"/>
        </w:rPr>
        <w:t>Biography</w:t>
      </w:r>
      <w:bookmarkStart w:id="0" w:name="_GoBack"/>
      <w:bookmarkEnd w:id="0"/>
    </w:p>
    <w:p w:rsidR="00AE3E37" w:rsidRPr="00E81107" w:rsidRDefault="00E81107">
      <w:pPr>
        <w:spacing w:before="41" w:line="154" w:lineRule="exact"/>
        <w:ind w:left="213" w:right="231"/>
        <w:jc w:val="both"/>
        <w:rPr>
          <w:rFonts w:ascii="Arial" w:hAnsi="Arial" w:cs="Arial"/>
          <w:sz w:val="14"/>
        </w:rPr>
      </w:pPr>
      <w:r w:rsidRPr="00E81107">
        <w:rPr>
          <w:rFonts w:ascii="Arial" w:hAnsi="Arial" w:cs="Arial"/>
          <w:sz w:val="14"/>
        </w:rPr>
        <w:t xml:space="preserve">Livio </w:t>
      </w:r>
      <w:proofErr w:type="spellStart"/>
      <w:r w:rsidRPr="00E81107">
        <w:rPr>
          <w:rFonts w:ascii="Arial" w:hAnsi="Arial" w:cs="Arial"/>
          <w:sz w:val="14"/>
        </w:rPr>
        <w:t>Racané</w:t>
      </w:r>
      <w:proofErr w:type="spellEnd"/>
      <w:r w:rsidRPr="00E81107">
        <w:rPr>
          <w:rFonts w:ascii="Arial" w:hAnsi="Arial" w:cs="Arial"/>
          <w:sz w:val="14"/>
        </w:rPr>
        <w:t xml:space="preserve"> </w:t>
      </w:r>
      <w:r>
        <w:rPr>
          <w:rFonts w:ascii="Arial" w:hAnsi="Arial" w:cs="Arial"/>
          <w:sz w:val="14"/>
        </w:rPr>
        <w:t xml:space="preserve">is an associate professor at </w:t>
      </w:r>
      <w:r w:rsidR="00A27EDB">
        <w:rPr>
          <w:rFonts w:ascii="Arial" w:hAnsi="Arial" w:cs="Arial"/>
          <w:sz w:val="14"/>
        </w:rPr>
        <w:t xml:space="preserve">the </w:t>
      </w:r>
      <w:r>
        <w:rPr>
          <w:rFonts w:ascii="Arial" w:hAnsi="Arial" w:cs="Arial"/>
          <w:sz w:val="14"/>
        </w:rPr>
        <w:t>University of Zagreb Faculty of Textile technology w</w:t>
      </w:r>
      <w:r w:rsidR="00E65D50">
        <w:rPr>
          <w:rFonts w:ascii="Arial" w:hAnsi="Arial" w:cs="Arial"/>
          <w:sz w:val="14"/>
        </w:rPr>
        <w:t>h</w:t>
      </w:r>
      <w:r>
        <w:rPr>
          <w:rFonts w:ascii="Arial" w:hAnsi="Arial" w:cs="Arial"/>
          <w:sz w:val="14"/>
        </w:rPr>
        <w:t>ere he teach</w:t>
      </w:r>
      <w:r w:rsidR="00A27EDB">
        <w:rPr>
          <w:rFonts w:ascii="Arial" w:hAnsi="Arial" w:cs="Arial"/>
          <w:sz w:val="14"/>
        </w:rPr>
        <w:t>es</w:t>
      </w:r>
      <w:r>
        <w:rPr>
          <w:rFonts w:ascii="Arial" w:hAnsi="Arial" w:cs="Arial"/>
          <w:sz w:val="14"/>
        </w:rPr>
        <w:t xml:space="preserve"> on </w:t>
      </w:r>
      <w:r w:rsidR="00E65D50">
        <w:rPr>
          <w:rFonts w:ascii="Arial" w:hAnsi="Arial" w:cs="Arial"/>
          <w:sz w:val="14"/>
        </w:rPr>
        <w:t xml:space="preserve">undergraduate, graduate and postgraduate level of studies. He obtained his PhD in 2005. </w:t>
      </w:r>
      <w:proofErr w:type="gramStart"/>
      <w:r w:rsidR="00E65D50">
        <w:rPr>
          <w:rFonts w:ascii="Arial" w:hAnsi="Arial" w:cs="Arial"/>
          <w:sz w:val="14"/>
        </w:rPr>
        <w:t>at</w:t>
      </w:r>
      <w:proofErr w:type="gramEnd"/>
      <w:r w:rsidR="00E65D50">
        <w:rPr>
          <w:rFonts w:ascii="Arial" w:hAnsi="Arial" w:cs="Arial"/>
          <w:sz w:val="14"/>
        </w:rPr>
        <w:t xml:space="preserve"> </w:t>
      </w:r>
      <w:r w:rsidR="00A27EDB">
        <w:rPr>
          <w:rFonts w:ascii="Arial" w:hAnsi="Arial" w:cs="Arial"/>
          <w:sz w:val="14"/>
        </w:rPr>
        <w:t xml:space="preserve">the </w:t>
      </w:r>
      <w:r w:rsidR="00E65D50">
        <w:rPr>
          <w:rFonts w:ascii="Arial" w:hAnsi="Arial" w:cs="Arial"/>
          <w:sz w:val="14"/>
        </w:rPr>
        <w:t>University of Zagreb in the field of organic chemistry. He published 30 original research articles</w:t>
      </w:r>
      <w:r w:rsidR="00C968FB">
        <w:rPr>
          <w:rFonts w:ascii="Arial" w:hAnsi="Arial" w:cs="Arial"/>
          <w:sz w:val="14"/>
        </w:rPr>
        <w:t xml:space="preserve"> in journal</w:t>
      </w:r>
      <w:r w:rsidR="00A27EDB">
        <w:rPr>
          <w:rFonts w:ascii="Arial" w:hAnsi="Arial" w:cs="Arial"/>
          <w:sz w:val="14"/>
        </w:rPr>
        <w:t>s</w:t>
      </w:r>
      <w:r w:rsidR="00C968FB">
        <w:rPr>
          <w:rFonts w:ascii="Arial" w:hAnsi="Arial" w:cs="Arial"/>
          <w:sz w:val="14"/>
        </w:rPr>
        <w:t xml:space="preserve"> indexed in Current Contents. His main research interests are in the field of synthetic organic chemistry, medicinal chemistry and color chemistry. </w:t>
      </w:r>
      <w:r w:rsidR="00C968FB">
        <w:rPr>
          <w:rFonts w:ascii="Arial" w:hAnsi="Arial" w:cs="Arial"/>
          <w:sz w:val="14"/>
          <w:szCs w:val="14"/>
          <w:lang w:eastAsia="hr-HR"/>
        </w:rPr>
        <w:t>He</w:t>
      </w:r>
      <w:r w:rsidR="00C968FB" w:rsidRPr="00694967">
        <w:rPr>
          <w:rFonts w:ascii="Arial" w:hAnsi="Arial" w:cs="Arial"/>
          <w:sz w:val="14"/>
          <w:szCs w:val="14"/>
          <w:lang w:eastAsia="hr-HR"/>
        </w:rPr>
        <w:t xml:space="preserve"> was the leader of </w:t>
      </w:r>
      <w:r w:rsidR="00C968FB">
        <w:rPr>
          <w:rFonts w:ascii="Arial" w:hAnsi="Arial" w:cs="Arial"/>
          <w:sz w:val="14"/>
          <w:szCs w:val="14"/>
          <w:lang w:eastAsia="hr-HR"/>
        </w:rPr>
        <w:t>one</w:t>
      </w:r>
      <w:r w:rsidR="00A27EDB">
        <w:rPr>
          <w:rFonts w:ascii="Arial" w:hAnsi="Arial" w:cs="Arial"/>
          <w:sz w:val="14"/>
          <w:szCs w:val="14"/>
          <w:lang w:eastAsia="hr-HR"/>
        </w:rPr>
        <w:t xml:space="preserve"> scientific project</w:t>
      </w:r>
      <w:r w:rsidR="00C968FB" w:rsidRPr="00694967">
        <w:rPr>
          <w:rFonts w:ascii="Arial" w:hAnsi="Arial" w:cs="Arial"/>
          <w:sz w:val="14"/>
          <w:szCs w:val="14"/>
          <w:lang w:eastAsia="hr-HR"/>
        </w:rPr>
        <w:t xml:space="preserve"> and</w:t>
      </w:r>
      <w:r w:rsidR="002A2BBA">
        <w:rPr>
          <w:rFonts w:ascii="Arial" w:hAnsi="Arial" w:cs="Arial"/>
          <w:sz w:val="14"/>
          <w:szCs w:val="14"/>
          <w:lang w:eastAsia="hr-HR"/>
        </w:rPr>
        <w:t xml:space="preserve"> currently </w:t>
      </w:r>
      <w:r w:rsidR="00EA3A0F">
        <w:rPr>
          <w:rFonts w:ascii="Arial" w:hAnsi="Arial" w:cs="Arial"/>
          <w:sz w:val="14"/>
          <w:szCs w:val="14"/>
          <w:lang w:eastAsia="hr-HR"/>
        </w:rPr>
        <w:t xml:space="preserve">he </w:t>
      </w:r>
      <w:r w:rsidR="002A2BBA">
        <w:rPr>
          <w:rFonts w:ascii="Arial" w:hAnsi="Arial" w:cs="Arial"/>
          <w:sz w:val="14"/>
          <w:szCs w:val="14"/>
          <w:lang w:eastAsia="hr-HR"/>
        </w:rPr>
        <w:t>is a collaborator on</w:t>
      </w:r>
      <w:r w:rsidR="00C968FB" w:rsidRPr="00694967">
        <w:rPr>
          <w:rFonts w:ascii="Arial" w:hAnsi="Arial" w:cs="Arial"/>
          <w:sz w:val="14"/>
          <w:szCs w:val="14"/>
          <w:lang w:eastAsia="hr-HR"/>
        </w:rPr>
        <w:t xml:space="preserve"> projects</w:t>
      </w:r>
      <w:r w:rsidR="002A2BBA">
        <w:rPr>
          <w:rFonts w:ascii="Arial" w:hAnsi="Arial" w:cs="Arial"/>
          <w:sz w:val="14"/>
          <w:szCs w:val="14"/>
          <w:lang w:eastAsia="hr-HR"/>
        </w:rPr>
        <w:t xml:space="preserve"> entitled:</w:t>
      </w:r>
      <w:r w:rsidR="005C0F3B">
        <w:rPr>
          <w:rFonts w:ascii="Arial" w:hAnsi="Arial" w:cs="Arial"/>
          <w:sz w:val="14"/>
          <w:szCs w:val="14"/>
          <w:lang w:eastAsia="hr-HR"/>
        </w:rPr>
        <w:t xml:space="preserve"> </w:t>
      </w:r>
      <w:r w:rsidR="005C0F3B" w:rsidRPr="005C0F3B">
        <w:rPr>
          <w:rFonts w:ascii="Arial" w:hAnsi="Arial" w:cs="Arial"/>
          <w:iCs/>
          <w:sz w:val="14"/>
          <w:szCs w:val="14"/>
          <w:lang w:val="en-GB" w:eastAsia="hr-HR"/>
        </w:rPr>
        <w:t xml:space="preserve">Exploring the </w:t>
      </w:r>
      <w:proofErr w:type="spellStart"/>
      <w:r w:rsidR="005C0F3B" w:rsidRPr="005C0F3B">
        <w:rPr>
          <w:rFonts w:ascii="Arial" w:hAnsi="Arial" w:cs="Arial"/>
          <w:iCs/>
          <w:sz w:val="14"/>
          <w:szCs w:val="14"/>
          <w:lang w:val="en-GB" w:eastAsia="hr-HR"/>
        </w:rPr>
        <w:t>antioxidative</w:t>
      </w:r>
      <w:proofErr w:type="spellEnd"/>
      <w:r w:rsidR="005C0F3B" w:rsidRPr="005C0F3B">
        <w:rPr>
          <w:rFonts w:ascii="Arial" w:hAnsi="Arial" w:cs="Arial"/>
          <w:iCs/>
          <w:sz w:val="14"/>
          <w:szCs w:val="14"/>
          <w:lang w:val="en-GB" w:eastAsia="hr-HR"/>
        </w:rPr>
        <w:t xml:space="preserve"> potential of </w:t>
      </w:r>
      <w:proofErr w:type="spellStart"/>
      <w:r w:rsidR="005C0F3B" w:rsidRPr="005C0F3B">
        <w:rPr>
          <w:rFonts w:ascii="Arial" w:hAnsi="Arial" w:cs="Arial"/>
          <w:iCs/>
          <w:sz w:val="14"/>
          <w:szCs w:val="14"/>
          <w:lang w:val="en-GB" w:eastAsia="hr-HR"/>
        </w:rPr>
        <w:t>benzazole</w:t>
      </w:r>
      <w:proofErr w:type="spellEnd"/>
      <w:r w:rsidR="005C0F3B" w:rsidRPr="005C0F3B">
        <w:rPr>
          <w:rFonts w:ascii="Arial" w:hAnsi="Arial" w:cs="Arial"/>
          <w:iCs/>
          <w:sz w:val="14"/>
          <w:szCs w:val="14"/>
          <w:lang w:val="en-GB" w:eastAsia="hr-HR"/>
        </w:rPr>
        <w:t xml:space="preserve"> scaffold in the design of novel antitumor agents</w:t>
      </w:r>
      <w:r w:rsidR="005C0F3B">
        <w:rPr>
          <w:rFonts w:ascii="Arial" w:hAnsi="Arial" w:cs="Arial"/>
          <w:iCs/>
          <w:sz w:val="14"/>
          <w:szCs w:val="14"/>
          <w:lang w:val="en-GB" w:eastAsia="hr-HR"/>
        </w:rPr>
        <w:t xml:space="preserve"> financially supported by </w:t>
      </w:r>
      <w:r w:rsidR="005C0F3B" w:rsidRPr="005C0F3B">
        <w:rPr>
          <w:rFonts w:ascii="Arial" w:hAnsi="Arial" w:cs="Arial"/>
          <w:iCs/>
          <w:sz w:val="14"/>
          <w:szCs w:val="14"/>
          <w:lang w:val="en-GB" w:eastAsia="hr-HR"/>
        </w:rPr>
        <w:t xml:space="preserve">the Croatian Science Foundation under the </w:t>
      </w:r>
      <w:r w:rsidR="00EA3A0F">
        <w:rPr>
          <w:rFonts w:ascii="Arial" w:hAnsi="Arial" w:cs="Arial"/>
          <w:iCs/>
          <w:sz w:val="14"/>
          <w:szCs w:val="14"/>
          <w:lang w:val="en-GB" w:eastAsia="hr-HR"/>
        </w:rPr>
        <w:t>number</w:t>
      </w:r>
      <w:r w:rsidR="005C0F3B" w:rsidRPr="005C0F3B">
        <w:rPr>
          <w:rFonts w:ascii="Arial" w:hAnsi="Arial" w:cs="Arial"/>
          <w:iCs/>
          <w:sz w:val="14"/>
          <w:szCs w:val="14"/>
          <w:lang w:val="en-GB" w:eastAsia="hr-HR"/>
        </w:rPr>
        <w:t>: HRZZ-IP-2018-01-4379</w:t>
      </w: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005C0F3B">
        <w:rPr>
          <w:rFonts w:ascii="Arial" w:hAnsi="Arial" w:cs="Arial"/>
          <w:sz w:val="14"/>
        </w:rPr>
        <w:t xml:space="preserve">: Livio </w:t>
      </w:r>
      <w:proofErr w:type="spellStart"/>
      <w:r w:rsidR="005C0F3B">
        <w:rPr>
          <w:rFonts w:ascii="Arial" w:hAnsi="Arial" w:cs="Arial"/>
          <w:sz w:val="14"/>
        </w:rPr>
        <w:t>Racané</w:t>
      </w:r>
      <w:proofErr w:type="spellEnd"/>
      <w:r w:rsidRPr="00724C6E">
        <w:rPr>
          <w:rStyle w:val="Hyperlink"/>
          <w:rFonts w:ascii="Arial" w:hAnsi="Arial" w:cs="Arial"/>
          <w:sz w:val="6"/>
        </w:rPr>
        <w:br/>
      </w:r>
      <w:r w:rsidRPr="00724C6E">
        <w:rPr>
          <w:rFonts w:ascii="Arial" w:hAnsi="Arial" w:cs="Arial"/>
          <w:sz w:val="14"/>
        </w:rPr>
        <w:t>Tel:</w:t>
      </w:r>
      <w:r>
        <w:rPr>
          <w:rFonts w:ascii="Arial" w:hAnsi="Arial" w:cs="Arial"/>
          <w:sz w:val="14"/>
        </w:rPr>
        <w:t xml:space="preserve"> </w:t>
      </w:r>
      <w:r w:rsidR="00EA3A0F">
        <w:rPr>
          <w:rFonts w:ascii="Arial" w:hAnsi="Arial" w:cs="Arial"/>
          <w:sz w:val="14"/>
        </w:rPr>
        <w:t>+385 1 3712 556</w:t>
      </w:r>
      <w:r>
        <w:rPr>
          <w:rFonts w:ascii="Arial" w:hAnsi="Arial" w:cs="Arial"/>
          <w:sz w:val="14"/>
        </w:rPr>
        <w:br/>
      </w:r>
      <w:r w:rsidRPr="00724C6E">
        <w:rPr>
          <w:rFonts w:ascii="Arial"/>
          <w:sz w:val="14"/>
        </w:rPr>
        <w:t>Session</w:t>
      </w:r>
      <w:r w:rsidR="00EA3A0F">
        <w:rPr>
          <w:rFonts w:ascii="Arial"/>
          <w:sz w:val="14"/>
        </w:rPr>
        <w:t xml:space="preserve">: </w:t>
      </w:r>
      <w:r w:rsidR="005F7665">
        <w:rPr>
          <w:rFonts w:ascii="Arial"/>
          <w:sz w:val="14"/>
        </w:rPr>
        <w:t>Medicinal Chemistry and Drug Discovery</w:t>
      </w:r>
      <w:r>
        <w:rPr>
          <w:rFonts w:ascii="Arial"/>
          <w:sz w:val="14"/>
        </w:rPr>
        <w:br/>
      </w:r>
      <w:r w:rsidRPr="00724C6E">
        <w:rPr>
          <w:rFonts w:ascii="Arial"/>
          <w:sz w:val="14"/>
        </w:rPr>
        <w:t>Category</w:t>
      </w:r>
      <w:r>
        <w:rPr>
          <w:rFonts w:ascii="Arial"/>
          <w:sz w:val="14"/>
        </w:rPr>
        <w:t xml:space="preserve">: </w:t>
      </w:r>
      <w:r w:rsidR="00EA3A0F">
        <w:rPr>
          <w:rFonts w:ascii="Arial"/>
          <w:sz w:val="14"/>
        </w:rPr>
        <w:t>Poster presentation</w:t>
      </w:r>
      <w:r>
        <w:rPr>
          <w:rFonts w:ascii="Arial"/>
          <w:sz w:val="14"/>
        </w:rPr>
        <w:br/>
        <w:t xml:space="preserve">Email: </w:t>
      </w:r>
      <w:hyperlink r:id="rId12" w:history="1">
        <w:r w:rsidR="00EA3A0F" w:rsidRPr="00EB4FCA">
          <w:rPr>
            <w:rStyle w:val="Hyperlink"/>
            <w:rFonts w:ascii="Arial"/>
            <w:sz w:val="14"/>
          </w:rPr>
          <w:t>lracane@ttf.hr</w:t>
        </w:r>
      </w:hyperlink>
    </w:p>
    <w:p w:rsidR="00AE3E37" w:rsidRPr="00C90721" w:rsidRDefault="00292ED9" w:rsidP="00C90721">
      <w:pPr>
        <w:pStyle w:val="BodyText"/>
        <w:spacing w:before="2"/>
        <w:rPr>
          <w:rFonts w:ascii="Arial"/>
          <w:sz w:val="19"/>
        </w:rPr>
      </w:pPr>
      <w:r>
        <w:rPr>
          <w:noProof/>
          <w:lang w:val="hr-HR" w:eastAsia="hr-HR"/>
        </w:rPr>
        <mc:AlternateContent>
          <mc:Choice Requires="wps">
            <w:drawing>
              <wp:anchor distT="0" distB="0" distL="0" distR="0" simplePos="0" relativeHeight="1072" behindDoc="0" locked="0" layoutInCell="1" allowOverlap="1" wp14:anchorId="16A5E3FA" wp14:editId="7527999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8131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853640" w:rsidRDefault="0016644F" w:rsidP="00853640">
      <w:pPr>
        <w:spacing w:before="39"/>
        <w:ind w:left="100"/>
        <w:rPr>
          <w:rFonts w:ascii="Minion Pro"/>
          <w:b/>
          <w:sz w:val="20"/>
        </w:rPr>
        <w:sectPr w:rsidR="00AE3E37" w:rsidRPr="00853640">
          <w:type w:val="continuous"/>
          <w:pgSz w:w="11910" w:h="16840"/>
          <w:pgMar w:top="1740" w:right="600" w:bottom="840" w:left="620" w:header="720" w:footer="720" w:gutter="0"/>
          <w:cols w:space="720"/>
        </w:sectPr>
      </w:pPr>
      <w:r>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17E" w:rsidRDefault="0091317E">
      <w:r>
        <w:separator/>
      </w:r>
    </w:p>
  </w:endnote>
  <w:endnote w:type="continuationSeparator" w:id="0">
    <w:p w:rsidR="0091317E" w:rsidRDefault="00913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2FF" w:usb1="42002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17E" w:rsidRDefault="0091317E">
      <w:r>
        <w:separator/>
      </w:r>
    </w:p>
  </w:footnote>
  <w:footnote w:type="continuationSeparator" w:id="0">
    <w:p w:rsidR="0091317E" w:rsidRDefault="00913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1896"/>
    <w:rsid w:val="00047FA3"/>
    <w:rsid w:val="000E2911"/>
    <w:rsid w:val="00107327"/>
    <w:rsid w:val="001263DF"/>
    <w:rsid w:val="0014722D"/>
    <w:rsid w:val="0016644F"/>
    <w:rsid w:val="00267CA4"/>
    <w:rsid w:val="00292ED9"/>
    <w:rsid w:val="002A2BBA"/>
    <w:rsid w:val="002E6E3A"/>
    <w:rsid w:val="00404E5B"/>
    <w:rsid w:val="00414F7B"/>
    <w:rsid w:val="004355DC"/>
    <w:rsid w:val="004749B4"/>
    <w:rsid w:val="00494130"/>
    <w:rsid w:val="004D3940"/>
    <w:rsid w:val="004F3523"/>
    <w:rsid w:val="00520172"/>
    <w:rsid w:val="005973B9"/>
    <w:rsid w:val="005B3A56"/>
    <w:rsid w:val="005C0F3B"/>
    <w:rsid w:val="005F7665"/>
    <w:rsid w:val="006060CE"/>
    <w:rsid w:val="0063497F"/>
    <w:rsid w:val="00724C6E"/>
    <w:rsid w:val="00744A3A"/>
    <w:rsid w:val="00795C61"/>
    <w:rsid w:val="0083738C"/>
    <w:rsid w:val="00853640"/>
    <w:rsid w:val="008665B4"/>
    <w:rsid w:val="00873DF0"/>
    <w:rsid w:val="008756E6"/>
    <w:rsid w:val="0091317E"/>
    <w:rsid w:val="00960890"/>
    <w:rsid w:val="009A28BF"/>
    <w:rsid w:val="009B2D44"/>
    <w:rsid w:val="00A07E82"/>
    <w:rsid w:val="00A27EDB"/>
    <w:rsid w:val="00A535A8"/>
    <w:rsid w:val="00A57402"/>
    <w:rsid w:val="00A94CF2"/>
    <w:rsid w:val="00A9710C"/>
    <w:rsid w:val="00AE3E37"/>
    <w:rsid w:val="00B1127C"/>
    <w:rsid w:val="00B151CB"/>
    <w:rsid w:val="00B21A57"/>
    <w:rsid w:val="00B6714A"/>
    <w:rsid w:val="00BC119A"/>
    <w:rsid w:val="00C33602"/>
    <w:rsid w:val="00C90721"/>
    <w:rsid w:val="00C968FB"/>
    <w:rsid w:val="00CD6F55"/>
    <w:rsid w:val="00CE3F8B"/>
    <w:rsid w:val="00D307F1"/>
    <w:rsid w:val="00DE3104"/>
    <w:rsid w:val="00E15E80"/>
    <w:rsid w:val="00E65D50"/>
    <w:rsid w:val="00E81107"/>
    <w:rsid w:val="00E91483"/>
    <w:rsid w:val="00EA3A0F"/>
    <w:rsid w:val="00EA5118"/>
    <w:rsid w:val="00EB0DB7"/>
    <w:rsid w:val="00EC2ADE"/>
    <w:rsid w:val="00F144F8"/>
    <w:rsid w:val="00F36CE9"/>
    <w:rsid w:val="00F45158"/>
    <w:rsid w:val="00F72EEA"/>
    <w:rsid w:val="00F84CAE"/>
    <w:rsid w:val="00F902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AFA4E"/>
  <w15:docId w15:val="{DB4145FF-D564-4A8C-9464-E80D4E18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lracane@ttf.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665</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Livio Racane</cp:lastModifiedBy>
  <cp:revision>4</cp:revision>
  <dcterms:created xsi:type="dcterms:W3CDTF">2020-01-14T10:43:00Z</dcterms:created>
  <dcterms:modified xsi:type="dcterms:W3CDTF">2020-01-16T07:58:00Z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