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6A3" w:rsidRPr="009036A3" w:rsidRDefault="009036A3" w:rsidP="009036A3">
      <w:pPr>
        <w:pStyle w:val="Heading1"/>
        <w:spacing w:before="170"/>
        <w:ind w:left="0"/>
        <w:rPr>
          <w:color w:val="337AB7"/>
        </w:rPr>
      </w:pPr>
      <w:r w:rsidRPr="009036A3">
        <w:rPr>
          <w:color w:val="337AB7"/>
        </w:rPr>
        <w:t xml:space="preserve">Synthesis and biological evaluation of novel </w:t>
      </w:r>
      <w:proofErr w:type="spellStart"/>
      <w:r w:rsidRPr="009036A3">
        <w:rPr>
          <w:color w:val="337AB7"/>
        </w:rPr>
        <w:t>coumarin</w:t>
      </w:r>
      <w:proofErr w:type="spellEnd"/>
      <w:r w:rsidRPr="009036A3">
        <w:rPr>
          <w:color w:val="337AB7"/>
        </w:rPr>
        <w:t xml:space="preserve"> derivatives targeting acetylcholinesterase</w:t>
      </w:r>
    </w:p>
    <w:p w:rsidR="009036A3" w:rsidRDefault="009036A3" w:rsidP="00494130">
      <w:pPr>
        <w:pStyle w:val="Heading1"/>
        <w:spacing w:before="170"/>
        <w:ind w:left="0"/>
      </w:pPr>
    </w:p>
    <w:p w:rsidR="009036A3" w:rsidRPr="009036A3" w:rsidRDefault="009036A3" w:rsidP="009036A3">
      <w:pPr>
        <w:autoSpaceDE w:val="0"/>
        <w:autoSpaceDN w:val="0"/>
        <w:adjustRightInd w:val="0"/>
        <w:spacing w:line="360" w:lineRule="auto"/>
        <w:rPr>
          <w:rFonts w:ascii="Arial"/>
          <w:sz w:val="18"/>
          <w:szCs w:val="18"/>
        </w:rPr>
      </w:pPr>
      <w:r w:rsidRPr="009036A3">
        <w:rPr>
          <w:rFonts w:ascii="Arial"/>
          <w:sz w:val="18"/>
          <w:szCs w:val="18"/>
        </w:rPr>
        <w:t>Haidy H. El-</w:t>
      </w:r>
      <w:proofErr w:type="spellStart"/>
      <w:r w:rsidRPr="009036A3">
        <w:rPr>
          <w:rFonts w:ascii="Arial"/>
          <w:sz w:val="18"/>
          <w:szCs w:val="18"/>
        </w:rPr>
        <w:t>Zoheiry</w:t>
      </w:r>
      <w:proofErr w:type="spellEnd"/>
      <w:r w:rsidRPr="009036A3">
        <w:rPr>
          <w:rFonts w:ascii="Arial"/>
          <w:sz w:val="18"/>
          <w:szCs w:val="18"/>
        </w:rPr>
        <w:t xml:space="preserve">, </w:t>
      </w:r>
      <w:r w:rsidRPr="009036A3">
        <w:rPr>
          <w:rFonts w:ascii="Arial"/>
          <w:sz w:val="18"/>
          <w:szCs w:val="18"/>
        </w:rPr>
        <w:t>Department of Pharmaceutical Chemistry, Faculty of Pharmacy, Cairo University,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9036A3" w:rsidRDefault="009036A3">
      <w:pPr>
        <w:pStyle w:val="Heading3"/>
        <w:spacing w:before="147"/>
        <w:jc w:val="both"/>
        <w:rPr>
          <w:color w:val="BF5A14"/>
        </w:rPr>
      </w:pPr>
    </w:p>
    <w:p w:rsidR="009036A3" w:rsidRPr="009036A3" w:rsidRDefault="009036A3" w:rsidP="009036A3">
      <w:pPr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 w:rsidRPr="009036A3">
        <w:rPr>
          <w:sz w:val="18"/>
          <w:szCs w:val="18"/>
        </w:rPr>
        <w:t>Acetylcholinesterase (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) enzyme inhibition is an important target for the management of Alzheimer disease (AD) and 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 inhibitors are the main stay drugs for its management. </w:t>
      </w:r>
      <w:proofErr w:type="spellStart"/>
      <w:r w:rsidRPr="009036A3">
        <w:rPr>
          <w:sz w:val="18"/>
          <w:szCs w:val="18"/>
        </w:rPr>
        <w:t>Coumarins</w:t>
      </w:r>
      <w:proofErr w:type="spellEnd"/>
      <w:r w:rsidRPr="009036A3">
        <w:rPr>
          <w:sz w:val="18"/>
          <w:szCs w:val="18"/>
        </w:rPr>
        <w:t xml:space="preserve"> are a large family of compounds, of natural and synthetic origin, that exhibit a variety of pharmacological activities, including 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 inhibition. </w:t>
      </w:r>
      <w:proofErr w:type="spellStart"/>
      <w:r w:rsidRPr="009036A3">
        <w:rPr>
          <w:sz w:val="18"/>
          <w:szCs w:val="18"/>
        </w:rPr>
        <w:t>Ensaculin</w:t>
      </w:r>
      <w:proofErr w:type="spellEnd"/>
      <w:r w:rsidRPr="009036A3">
        <w:rPr>
          <w:sz w:val="18"/>
          <w:szCs w:val="18"/>
        </w:rPr>
        <w:t xml:space="preserve">, a natural </w:t>
      </w:r>
      <w:proofErr w:type="spellStart"/>
      <w:r w:rsidRPr="009036A3">
        <w:rPr>
          <w:sz w:val="18"/>
          <w:szCs w:val="18"/>
        </w:rPr>
        <w:t>coumarin</w:t>
      </w:r>
      <w:proofErr w:type="spellEnd"/>
      <w:r w:rsidRPr="009036A3">
        <w:rPr>
          <w:sz w:val="18"/>
          <w:szCs w:val="18"/>
        </w:rPr>
        <w:t xml:space="preserve"> derivative displayed 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 inhibitory property, is under clinical investigation for potential AD management. Thus, new series of 7-(</w:t>
      </w:r>
      <w:proofErr w:type="spellStart"/>
      <w:r w:rsidRPr="009036A3">
        <w:rPr>
          <w:sz w:val="18"/>
          <w:szCs w:val="18"/>
        </w:rPr>
        <w:t>benzyloxy</w:t>
      </w:r>
      <w:proofErr w:type="spellEnd"/>
      <w:r w:rsidRPr="009036A3">
        <w:rPr>
          <w:sz w:val="18"/>
          <w:szCs w:val="18"/>
        </w:rPr>
        <w:t xml:space="preserve">)-4-substituted-2H-chromen-2-one was synthesized and evaluated as 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 inhibitors. The anticholinesterase activities of the synthesized compounds were assayed according to </w:t>
      </w:r>
      <w:proofErr w:type="spellStart"/>
      <w:r w:rsidRPr="009036A3">
        <w:rPr>
          <w:sz w:val="18"/>
          <w:szCs w:val="18"/>
        </w:rPr>
        <w:t>Ellmann’s</w:t>
      </w:r>
      <w:proofErr w:type="spellEnd"/>
      <w:r w:rsidRPr="009036A3">
        <w:rPr>
          <w:sz w:val="18"/>
          <w:szCs w:val="18"/>
        </w:rPr>
        <w:t xml:space="preserve"> method against freshly prepared acetylcholinesterase (</w:t>
      </w:r>
      <w:proofErr w:type="spellStart"/>
      <w:r w:rsidRPr="009036A3">
        <w:rPr>
          <w:sz w:val="18"/>
          <w:szCs w:val="18"/>
        </w:rPr>
        <w:t>AChE</w:t>
      </w:r>
      <w:proofErr w:type="spellEnd"/>
      <w:r w:rsidRPr="009036A3">
        <w:rPr>
          <w:sz w:val="18"/>
          <w:szCs w:val="18"/>
        </w:rPr>
        <w:t xml:space="preserve">) from Electrophorus </w:t>
      </w:r>
      <w:proofErr w:type="spellStart"/>
      <w:r w:rsidRPr="009036A3">
        <w:rPr>
          <w:sz w:val="18"/>
          <w:szCs w:val="18"/>
        </w:rPr>
        <w:t>electricus</w:t>
      </w:r>
      <w:proofErr w:type="spellEnd"/>
      <w:r w:rsidRPr="009036A3">
        <w:rPr>
          <w:sz w:val="18"/>
          <w:szCs w:val="18"/>
        </w:rPr>
        <w:t xml:space="preserve"> using donepezil as the reference compound. Finally, molecular docking was performed in an attempt to understand the possible binding interactions between active compounds and amino acids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36A3">
        <w:rPr>
          <w:sz w:val="18"/>
          <w:szCs w:val="18"/>
        </w:rPr>
        <w:t>present in the enzyme binding site.</w:t>
      </w:r>
    </w:p>
    <w:p w:rsidR="009036A3" w:rsidRPr="009036A3" w:rsidRDefault="009036A3" w:rsidP="009036A3">
      <w:pPr>
        <w:rPr>
          <w:sz w:val="18"/>
          <w:szCs w:val="18"/>
        </w:rPr>
      </w:pP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9036A3" w:rsidRPr="0051397B" w:rsidRDefault="009036A3" w:rsidP="009036A3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1397B">
        <w:rPr>
          <w:rFonts w:asciiTheme="majorBidi" w:hAnsiTheme="majorBidi" w:cstheme="majorBidi"/>
          <w:noProof/>
          <w:color w:val="000000" w:themeColor="text1"/>
          <w:sz w:val="28"/>
          <w:szCs w:val="28"/>
          <w:lang w:val="en-GB" w:eastAsia="en-GB"/>
        </w:rPr>
        <w:drawing>
          <wp:inline distT="0" distB="0" distL="0" distR="0" wp14:anchorId="096E1C11" wp14:editId="60376129">
            <wp:extent cx="1386717" cy="914400"/>
            <wp:effectExtent l="19050" t="19050" r="2349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1.largee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717" cy="914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Ref4847009"/>
    </w:p>
    <w:p w:rsidR="009036A3" w:rsidRPr="009036A3" w:rsidRDefault="009036A3" w:rsidP="009036A3">
      <w:pPr>
        <w:autoSpaceDE w:val="0"/>
        <w:autoSpaceDN w:val="0"/>
        <w:adjustRightInd w:val="0"/>
        <w:spacing w:line="360" w:lineRule="auto"/>
        <w:jc w:val="center"/>
        <w:rPr>
          <w:sz w:val="18"/>
          <w:szCs w:val="18"/>
        </w:rPr>
      </w:pPr>
      <w:bookmarkStart w:id="1" w:name="_Ref12213781"/>
      <w:bookmarkStart w:id="2" w:name="_Toc12438223"/>
      <w:bookmarkStart w:id="3" w:name="_Toc18602466"/>
      <w:r w:rsidRPr="009036A3">
        <w:rPr>
          <w:sz w:val="18"/>
          <w:szCs w:val="18"/>
        </w:rPr>
        <w:t xml:space="preserve">Figure </w:t>
      </w:r>
      <w:bookmarkEnd w:id="0"/>
      <w:bookmarkEnd w:id="1"/>
      <w:r>
        <w:rPr>
          <w:sz w:val="18"/>
          <w:szCs w:val="18"/>
        </w:rPr>
        <w:t>1</w:t>
      </w:r>
      <w:r w:rsidRPr="009036A3">
        <w:rPr>
          <w:sz w:val="18"/>
          <w:szCs w:val="18"/>
        </w:rPr>
        <w:t>: Cholinergic hypothesis.</w:t>
      </w:r>
      <w:bookmarkEnd w:id="2"/>
      <w:bookmarkEnd w:id="3"/>
      <w:r w:rsidRPr="009036A3">
        <w:rPr>
          <w:sz w:val="18"/>
          <w:szCs w:val="18"/>
        </w:rPr>
        <w:t xml:space="preserve"> </w:t>
      </w:r>
    </w:p>
    <w:p w:rsidR="005973B9" w:rsidRDefault="005973B9" w:rsidP="009036A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9036A3" w:rsidRPr="009036A3" w:rsidRDefault="009036A3" w:rsidP="009036A3">
      <w:pPr>
        <w:pStyle w:val="BodyTex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9036A3">
        <w:rPr>
          <w:rFonts w:ascii="Calibri" w:eastAsia="Calibri" w:hAnsi="Calibri" w:cs="Calibri"/>
          <w:szCs w:val="22"/>
        </w:rPr>
        <w:t>[1]</w:t>
      </w:r>
      <w:r w:rsidRPr="009036A3">
        <w:rPr>
          <w:rFonts w:ascii="Calibri" w:eastAsia="Calibri" w:hAnsi="Calibri" w:cs="Calibri"/>
          <w:szCs w:val="22"/>
        </w:rPr>
        <w:tab/>
        <w:t xml:space="preserve">M. </w:t>
      </w:r>
      <w:proofErr w:type="spellStart"/>
      <w:r w:rsidRPr="009036A3">
        <w:rPr>
          <w:rFonts w:ascii="Calibri" w:eastAsia="Calibri" w:hAnsi="Calibri" w:cs="Calibri"/>
          <w:szCs w:val="22"/>
        </w:rPr>
        <w:t>Goedert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M.G. </w:t>
      </w:r>
      <w:proofErr w:type="spellStart"/>
      <w:r w:rsidRPr="009036A3">
        <w:rPr>
          <w:rFonts w:ascii="Calibri" w:eastAsia="Calibri" w:hAnsi="Calibri" w:cs="Calibri"/>
          <w:szCs w:val="22"/>
        </w:rPr>
        <w:t>Spillantini</w:t>
      </w:r>
      <w:proofErr w:type="spellEnd"/>
      <w:r w:rsidRPr="009036A3">
        <w:rPr>
          <w:rFonts w:ascii="Calibri" w:eastAsia="Calibri" w:hAnsi="Calibri" w:cs="Calibri"/>
          <w:szCs w:val="22"/>
        </w:rPr>
        <w:t>, A century of Alzheimer’s disease, Science. 314 (2006) 777–781.</w:t>
      </w:r>
    </w:p>
    <w:p w:rsidR="009036A3" w:rsidRPr="009036A3" w:rsidRDefault="009036A3" w:rsidP="009036A3">
      <w:pPr>
        <w:pStyle w:val="BodyTex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9036A3">
        <w:rPr>
          <w:rFonts w:ascii="Calibri" w:eastAsia="Calibri" w:hAnsi="Calibri" w:cs="Calibri"/>
          <w:szCs w:val="22"/>
        </w:rPr>
        <w:t>[2]</w:t>
      </w:r>
      <w:r w:rsidRPr="009036A3">
        <w:rPr>
          <w:rFonts w:ascii="Calibri" w:eastAsia="Calibri" w:hAnsi="Calibri" w:cs="Calibri"/>
          <w:szCs w:val="22"/>
        </w:rPr>
        <w:tab/>
        <w:t xml:space="preserve">L. </w:t>
      </w:r>
      <w:proofErr w:type="spellStart"/>
      <w:r w:rsidRPr="009036A3">
        <w:rPr>
          <w:rFonts w:ascii="Calibri" w:eastAsia="Calibri" w:hAnsi="Calibri" w:cs="Calibri"/>
          <w:szCs w:val="22"/>
        </w:rPr>
        <w:t>Pisani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M. </w:t>
      </w:r>
      <w:proofErr w:type="spellStart"/>
      <w:r w:rsidRPr="009036A3">
        <w:rPr>
          <w:rFonts w:ascii="Calibri" w:eastAsia="Calibri" w:hAnsi="Calibri" w:cs="Calibri"/>
          <w:szCs w:val="22"/>
        </w:rPr>
        <w:t>Catto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I. </w:t>
      </w:r>
      <w:proofErr w:type="spellStart"/>
      <w:r w:rsidRPr="009036A3">
        <w:rPr>
          <w:rFonts w:ascii="Calibri" w:eastAsia="Calibri" w:hAnsi="Calibri" w:cs="Calibri"/>
          <w:szCs w:val="22"/>
        </w:rPr>
        <w:t>Giangreco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F. </w:t>
      </w:r>
      <w:proofErr w:type="spellStart"/>
      <w:r w:rsidRPr="009036A3">
        <w:rPr>
          <w:rFonts w:ascii="Calibri" w:eastAsia="Calibri" w:hAnsi="Calibri" w:cs="Calibri"/>
          <w:szCs w:val="22"/>
        </w:rPr>
        <w:t>Leonetti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O. </w:t>
      </w:r>
      <w:proofErr w:type="spellStart"/>
      <w:r w:rsidRPr="009036A3">
        <w:rPr>
          <w:rFonts w:ascii="Calibri" w:eastAsia="Calibri" w:hAnsi="Calibri" w:cs="Calibri"/>
          <w:szCs w:val="22"/>
        </w:rPr>
        <w:t>Nicolotti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9036A3">
        <w:rPr>
          <w:rFonts w:ascii="Calibri" w:eastAsia="Calibri" w:hAnsi="Calibri" w:cs="Calibri"/>
          <w:szCs w:val="22"/>
        </w:rPr>
        <w:t>Stefanachi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S. </w:t>
      </w:r>
      <w:proofErr w:type="spellStart"/>
      <w:r w:rsidRPr="009036A3">
        <w:rPr>
          <w:rFonts w:ascii="Calibri" w:eastAsia="Calibri" w:hAnsi="Calibri" w:cs="Calibri"/>
          <w:szCs w:val="22"/>
        </w:rPr>
        <w:t>Cellamare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9036A3">
        <w:rPr>
          <w:rFonts w:ascii="Calibri" w:eastAsia="Calibri" w:hAnsi="Calibri" w:cs="Calibri"/>
          <w:szCs w:val="22"/>
        </w:rPr>
        <w:t>Carotti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Design, synthesis, and biological evaluation of </w:t>
      </w:r>
      <w:proofErr w:type="spellStart"/>
      <w:r w:rsidRPr="009036A3">
        <w:rPr>
          <w:rFonts w:ascii="Calibri" w:eastAsia="Calibri" w:hAnsi="Calibri" w:cs="Calibri"/>
          <w:szCs w:val="22"/>
        </w:rPr>
        <w:t>coumarin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 derivatives tethered to an </w:t>
      </w:r>
      <w:proofErr w:type="spellStart"/>
      <w:r w:rsidRPr="009036A3">
        <w:rPr>
          <w:rFonts w:ascii="Calibri" w:eastAsia="Calibri" w:hAnsi="Calibri" w:cs="Calibri"/>
          <w:szCs w:val="22"/>
        </w:rPr>
        <w:t>edrophonium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-like fragment as highly potent and selective dual binding site acetylcholinesterase inhibitors, </w:t>
      </w:r>
      <w:proofErr w:type="spellStart"/>
      <w:r w:rsidRPr="009036A3">
        <w:rPr>
          <w:rFonts w:ascii="Calibri" w:eastAsia="Calibri" w:hAnsi="Calibri" w:cs="Calibri"/>
          <w:szCs w:val="22"/>
        </w:rPr>
        <w:t>ChemMedChem</w:t>
      </w:r>
      <w:proofErr w:type="spellEnd"/>
      <w:r w:rsidRPr="009036A3">
        <w:rPr>
          <w:rFonts w:ascii="Calibri" w:eastAsia="Calibri" w:hAnsi="Calibri" w:cs="Calibri"/>
          <w:szCs w:val="22"/>
        </w:rPr>
        <w:t>. 5 (2010) 1616–1630.</w:t>
      </w:r>
    </w:p>
    <w:p w:rsidR="009036A3" w:rsidRPr="009036A3" w:rsidRDefault="009036A3" w:rsidP="009036A3">
      <w:pPr>
        <w:pStyle w:val="BodyTex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9036A3">
        <w:rPr>
          <w:rFonts w:ascii="Calibri" w:eastAsia="Calibri" w:hAnsi="Calibri" w:cs="Calibri"/>
          <w:szCs w:val="22"/>
        </w:rPr>
        <w:t>[3]</w:t>
      </w:r>
      <w:r w:rsidRPr="009036A3">
        <w:rPr>
          <w:rFonts w:ascii="Calibri" w:eastAsia="Calibri" w:hAnsi="Calibri" w:cs="Calibri"/>
          <w:szCs w:val="22"/>
        </w:rPr>
        <w:tab/>
        <w:t xml:space="preserve">J. </w:t>
      </w:r>
      <w:proofErr w:type="spellStart"/>
      <w:r w:rsidRPr="009036A3">
        <w:rPr>
          <w:rFonts w:ascii="Calibri" w:eastAsia="Calibri" w:hAnsi="Calibri" w:cs="Calibri"/>
          <w:szCs w:val="22"/>
        </w:rPr>
        <w:t>Gaugler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B. James, T. Johnson, A. Marin, J. </w:t>
      </w:r>
      <w:proofErr w:type="spellStart"/>
      <w:r w:rsidRPr="009036A3">
        <w:rPr>
          <w:rFonts w:ascii="Calibri" w:eastAsia="Calibri" w:hAnsi="Calibri" w:cs="Calibri"/>
          <w:szCs w:val="22"/>
        </w:rPr>
        <w:t>Weuve</w:t>
      </w:r>
      <w:proofErr w:type="spellEnd"/>
      <w:r w:rsidRPr="009036A3">
        <w:rPr>
          <w:rFonts w:ascii="Calibri" w:eastAsia="Calibri" w:hAnsi="Calibri" w:cs="Calibri"/>
          <w:szCs w:val="22"/>
        </w:rPr>
        <w:t>, 2018 Alzheimer’s disease facts and figures, Alzheimer’s Dement. 14 (2018) 367–429.</w:t>
      </w:r>
    </w:p>
    <w:p w:rsidR="009036A3" w:rsidRPr="009036A3" w:rsidRDefault="009036A3" w:rsidP="009036A3">
      <w:pPr>
        <w:pStyle w:val="BodyTex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9036A3">
        <w:rPr>
          <w:rFonts w:ascii="Calibri" w:eastAsia="Calibri" w:hAnsi="Calibri" w:cs="Calibri"/>
          <w:szCs w:val="22"/>
        </w:rPr>
        <w:t>[4]</w:t>
      </w:r>
      <w:r w:rsidRPr="009036A3">
        <w:rPr>
          <w:rFonts w:ascii="Calibri" w:eastAsia="Calibri" w:hAnsi="Calibri" w:cs="Calibri"/>
          <w:szCs w:val="22"/>
        </w:rPr>
        <w:tab/>
        <w:t xml:space="preserve">A. </w:t>
      </w:r>
      <w:proofErr w:type="spellStart"/>
      <w:r w:rsidRPr="009036A3">
        <w:rPr>
          <w:rFonts w:ascii="Calibri" w:eastAsia="Calibri" w:hAnsi="Calibri" w:cs="Calibri"/>
          <w:szCs w:val="22"/>
        </w:rPr>
        <w:t>Wimo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L. </w:t>
      </w:r>
      <w:proofErr w:type="spellStart"/>
      <w:r w:rsidRPr="009036A3">
        <w:rPr>
          <w:rFonts w:ascii="Calibri" w:eastAsia="Calibri" w:hAnsi="Calibri" w:cs="Calibri"/>
          <w:szCs w:val="22"/>
        </w:rPr>
        <w:t>Jönsson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J. Bond, M. Prince, B. </w:t>
      </w:r>
      <w:proofErr w:type="spellStart"/>
      <w:r w:rsidRPr="009036A3">
        <w:rPr>
          <w:rFonts w:ascii="Calibri" w:eastAsia="Calibri" w:hAnsi="Calibri" w:cs="Calibri"/>
          <w:szCs w:val="22"/>
        </w:rPr>
        <w:t>Winblad</w:t>
      </w:r>
      <w:proofErr w:type="spellEnd"/>
      <w:r w:rsidRPr="009036A3">
        <w:rPr>
          <w:rFonts w:ascii="Calibri" w:eastAsia="Calibri" w:hAnsi="Calibri" w:cs="Calibri"/>
          <w:szCs w:val="22"/>
        </w:rPr>
        <w:t>, The worldwide economic impact of dementia 2010, Alzheimer’s Dement. 9 (2013) 1–11.</w:t>
      </w:r>
    </w:p>
    <w:p w:rsidR="005973B9" w:rsidRDefault="009036A3" w:rsidP="009036A3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9036A3">
        <w:rPr>
          <w:rFonts w:ascii="Calibri" w:eastAsia="Calibri" w:hAnsi="Calibri" w:cs="Calibri"/>
          <w:szCs w:val="22"/>
        </w:rPr>
        <w:t>[5]</w:t>
      </w:r>
      <w:r w:rsidRPr="009036A3">
        <w:rPr>
          <w:rFonts w:ascii="Calibri" w:eastAsia="Calibri" w:hAnsi="Calibri" w:cs="Calibri"/>
          <w:szCs w:val="22"/>
        </w:rPr>
        <w:tab/>
        <w:t xml:space="preserve">L.G. de Souza, M.N. </w:t>
      </w:r>
      <w:proofErr w:type="spellStart"/>
      <w:r w:rsidRPr="009036A3">
        <w:rPr>
          <w:rFonts w:ascii="Calibri" w:eastAsia="Calibri" w:hAnsi="Calibri" w:cs="Calibri"/>
          <w:szCs w:val="22"/>
        </w:rPr>
        <w:t>Renno</w:t>
      </w:r>
      <w:proofErr w:type="spellEnd"/>
      <w:r w:rsidRPr="009036A3">
        <w:rPr>
          <w:rFonts w:ascii="Calibri" w:eastAsia="Calibri" w:hAnsi="Calibri" w:cs="Calibri"/>
          <w:szCs w:val="22"/>
        </w:rPr>
        <w:t>, J.D. Figueroa-</w:t>
      </w:r>
      <w:proofErr w:type="spellStart"/>
      <w:r w:rsidRPr="009036A3">
        <w:rPr>
          <w:rFonts w:ascii="Calibri" w:eastAsia="Calibri" w:hAnsi="Calibri" w:cs="Calibri"/>
          <w:szCs w:val="22"/>
        </w:rPr>
        <w:t>Villar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, </w:t>
      </w:r>
      <w:proofErr w:type="spellStart"/>
      <w:r w:rsidRPr="009036A3">
        <w:rPr>
          <w:rFonts w:ascii="Calibri" w:eastAsia="Calibri" w:hAnsi="Calibri" w:cs="Calibri"/>
          <w:szCs w:val="22"/>
        </w:rPr>
        <w:t>Coumarins</w:t>
      </w:r>
      <w:proofErr w:type="spellEnd"/>
      <w:r w:rsidRPr="009036A3">
        <w:rPr>
          <w:rFonts w:ascii="Calibri" w:eastAsia="Calibri" w:hAnsi="Calibri" w:cs="Calibri"/>
          <w:szCs w:val="22"/>
        </w:rPr>
        <w:t xml:space="preserve"> as cholinesterase inhibitors: A review, Chem. Biol. Interact. 254 (2016) 11–23.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642C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1D5EA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1D5EA1">
        <w:rPr>
          <w:rFonts w:ascii="Arial"/>
          <w:noProof/>
          <w:color w:val="BF5A14"/>
          <w:lang w:val="en-GB" w:eastAsia="en-GB"/>
        </w:rPr>
        <w:drawing>
          <wp:inline distT="0" distB="0" distL="0" distR="0" wp14:anchorId="64A129E5" wp14:editId="15D1314D">
            <wp:extent cx="647700" cy="754673"/>
            <wp:effectExtent l="19050" t="19050" r="19050" b="266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idy phot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396" cy="758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724C6E" w:rsidP="001D5EA1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 w:rsidRPr="00724C6E">
        <w:rPr>
          <w:rFonts w:ascii="Arial" w:hAnsi="Arial" w:cs="Arial"/>
          <w:sz w:val="14"/>
        </w:rPr>
        <w:t>Full Name</w:t>
      </w:r>
      <w:r w:rsidR="001D5EA1">
        <w:rPr>
          <w:rFonts w:ascii="Arial" w:hAnsi="Arial" w:cs="Arial"/>
          <w:sz w:val="14"/>
        </w:rPr>
        <w:t xml:space="preserve">: Haidy Hany Abdel </w:t>
      </w:r>
      <w:proofErr w:type="spellStart"/>
      <w:r w:rsidR="001D5EA1">
        <w:rPr>
          <w:rFonts w:ascii="Arial" w:hAnsi="Arial" w:cs="Arial"/>
          <w:sz w:val="14"/>
        </w:rPr>
        <w:t>Momen</w:t>
      </w:r>
      <w:proofErr w:type="spellEnd"/>
      <w:r w:rsidR="001D5EA1">
        <w:rPr>
          <w:rFonts w:ascii="Arial" w:hAnsi="Arial" w:cs="Arial"/>
          <w:sz w:val="14"/>
        </w:rPr>
        <w:t xml:space="preserve"> El </w:t>
      </w:r>
      <w:proofErr w:type="spellStart"/>
      <w:r w:rsidR="001D5EA1">
        <w:rPr>
          <w:rFonts w:ascii="Arial" w:hAnsi="Arial" w:cs="Arial"/>
          <w:sz w:val="14"/>
        </w:rPr>
        <w:t>Zoheiry</w:t>
      </w:r>
      <w:proofErr w:type="spellEnd"/>
      <w:r w:rsidRPr="00724C6E">
        <w:rPr>
          <w:rStyle w:val="Hyperlink"/>
          <w:rFonts w:ascii="Arial" w:hAnsi="Arial" w:cs="Arial"/>
          <w:sz w:val="6"/>
        </w:rPr>
        <w:br/>
      </w: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</w:t>
      </w:r>
      <w:r w:rsidR="001D5EA1">
        <w:rPr>
          <w:rFonts w:ascii="Arial" w:hAnsi="Arial" w:cs="Arial"/>
          <w:sz w:val="14"/>
        </w:rPr>
        <w:t>01006081006</w:t>
      </w:r>
      <w:r>
        <w:rPr>
          <w:rFonts w:ascii="Arial" w:hAnsi="Arial" w:cs="Arial"/>
          <w:sz w:val="14"/>
        </w:rPr>
        <w:br/>
      </w:r>
      <w:r w:rsidRPr="00724C6E">
        <w:rPr>
          <w:rFonts w:ascii="Arial"/>
          <w:sz w:val="14"/>
        </w:rPr>
        <w:t xml:space="preserve">Session </w:t>
      </w:r>
      <w:r>
        <w:rPr>
          <w:rFonts w:ascii="Arial"/>
          <w:sz w:val="14"/>
        </w:rPr>
        <w:t>N</w:t>
      </w:r>
      <w:r w:rsidRPr="00724C6E">
        <w:rPr>
          <w:rFonts w:ascii="Arial"/>
          <w:sz w:val="14"/>
        </w:rPr>
        <w:t>ame</w:t>
      </w:r>
      <w:r>
        <w:rPr>
          <w:rFonts w:ascii="Arial"/>
          <w:sz w:val="14"/>
        </w:rPr>
        <w:t>/Number</w:t>
      </w:r>
      <w:r>
        <w:rPr>
          <w:rFonts w:ascii="Arial"/>
          <w:sz w:val="14"/>
        </w:rPr>
        <w:br/>
      </w: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 xml:space="preserve">: </w:t>
      </w:r>
      <w:r w:rsidR="001D5EA1">
        <w:rPr>
          <w:rFonts w:ascii="Arial"/>
          <w:sz w:val="14"/>
        </w:rPr>
        <w:t>Poster</w:t>
      </w:r>
      <w:r>
        <w:rPr>
          <w:rFonts w:ascii="Arial"/>
          <w:sz w:val="14"/>
        </w:rPr>
        <w:br/>
        <w:t xml:space="preserve">Email: </w:t>
      </w:r>
      <w:r w:rsidR="001D5EA1">
        <w:rPr>
          <w:rStyle w:val="Hyperlink"/>
          <w:rFonts w:ascii="Arial"/>
          <w:sz w:val="14"/>
        </w:rPr>
        <w:t>haidi.abdelhamid@pharma.cu.edu.eg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B0D1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  <w:bookmarkStart w:id="4" w:name="_GoBack"/>
      <w:bookmarkEnd w:id="4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A69" w:rsidRDefault="00E24A69">
      <w:r>
        <w:separator/>
      </w:r>
    </w:p>
  </w:endnote>
  <w:endnote w:type="continuationSeparator" w:id="0">
    <w:p w:rsidR="00E24A69" w:rsidRDefault="00E2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A69" w:rsidRDefault="00E24A69">
      <w:r>
        <w:separator/>
      </w:r>
    </w:p>
  </w:footnote>
  <w:footnote w:type="continuationSeparator" w:id="0">
    <w:p w:rsidR="00E24A69" w:rsidRDefault="00E24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D5EA1"/>
    <w:rsid w:val="00292ED9"/>
    <w:rsid w:val="00404E5B"/>
    <w:rsid w:val="00414F7B"/>
    <w:rsid w:val="004355DC"/>
    <w:rsid w:val="004749B4"/>
    <w:rsid w:val="00494130"/>
    <w:rsid w:val="004F3523"/>
    <w:rsid w:val="00520172"/>
    <w:rsid w:val="005973B9"/>
    <w:rsid w:val="005B3A56"/>
    <w:rsid w:val="006060CE"/>
    <w:rsid w:val="0063497F"/>
    <w:rsid w:val="00724C6E"/>
    <w:rsid w:val="00873DF0"/>
    <w:rsid w:val="008756E6"/>
    <w:rsid w:val="009036A3"/>
    <w:rsid w:val="009B2D44"/>
    <w:rsid w:val="00A07E82"/>
    <w:rsid w:val="00A9710C"/>
    <w:rsid w:val="00AE3E37"/>
    <w:rsid w:val="00B1127C"/>
    <w:rsid w:val="00B21A57"/>
    <w:rsid w:val="00C33602"/>
    <w:rsid w:val="00CD6F55"/>
    <w:rsid w:val="00D307F1"/>
    <w:rsid w:val="00DE3104"/>
    <w:rsid w:val="00E24A6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41EF50-44C3-46E9-8F4E-A670E899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Haidy Hany</cp:lastModifiedBy>
  <cp:revision>3</cp:revision>
  <dcterms:created xsi:type="dcterms:W3CDTF">2018-10-22T06:53:00Z</dcterms:created>
  <dcterms:modified xsi:type="dcterms:W3CDTF">2020-01-13T02:29:00Z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