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8AC88" w14:textId="2B8385D6" w:rsidR="00F04A63" w:rsidRPr="00F04A63" w:rsidRDefault="00F04A63" w:rsidP="00494130">
      <w:pPr>
        <w:pStyle w:val="Heading1"/>
        <w:spacing w:before="170"/>
        <w:ind w:left="0"/>
        <w:rPr>
          <w:rFonts w:cs="Arial"/>
          <w:szCs w:val="20"/>
        </w:rPr>
      </w:pPr>
      <w:r w:rsidRPr="00F04A63">
        <w:rPr>
          <w:rFonts w:cs="Arial"/>
          <w:szCs w:val="20"/>
        </w:rPr>
        <w:t xml:space="preserve">Computer Assisted Design, Synthesis and Biological Evaluation of Thiazole Based Molecules </w:t>
      </w:r>
      <w:proofErr w:type="gramStart"/>
      <w:r w:rsidRPr="00F04A63">
        <w:rPr>
          <w:rFonts w:cs="Arial"/>
          <w:szCs w:val="20"/>
        </w:rPr>
        <w:t>As</w:t>
      </w:r>
      <w:proofErr w:type="gramEnd"/>
      <w:r w:rsidRPr="00F04A63">
        <w:rPr>
          <w:rFonts w:cs="Arial"/>
          <w:szCs w:val="20"/>
        </w:rPr>
        <w:t xml:space="preserve"> Bcl2 Inhibitors</w:t>
      </w:r>
      <w:r w:rsidRPr="00F04A63">
        <w:rPr>
          <w:color w:val="337AB7"/>
        </w:rPr>
        <w:t xml:space="preserve"> </w:t>
      </w:r>
    </w:p>
    <w:p w14:paraId="0DA76596" w14:textId="5A1C50F4" w:rsidR="00F04A63" w:rsidRDefault="00C40FAA">
      <w:pPr>
        <w:pStyle w:val="BodyText"/>
        <w:rPr>
          <w:rFonts w:ascii="Times New Roman" w:hAnsi="Times New Roman"/>
          <w:sz w:val="20"/>
          <w:szCs w:val="20"/>
          <w:vertAlign w:val="superscript"/>
        </w:rPr>
      </w:pPr>
      <w:r w:rsidRPr="00F04A63">
        <w:rPr>
          <w:rFonts w:ascii="Arial" w:hAnsi="Arial" w:cs="Arial"/>
          <w:b/>
          <w:bCs/>
        </w:rPr>
        <w:t>Sagar</w:t>
      </w:r>
      <w:r w:rsidR="00F7670A" w:rsidRPr="00F04A63">
        <w:rPr>
          <w:rFonts w:ascii="Arial" w:hAnsi="Arial" w:cs="Arial"/>
          <w:b/>
          <w:bCs/>
        </w:rPr>
        <w:t>k</w:t>
      </w:r>
      <w:r w:rsidRPr="00F04A63">
        <w:rPr>
          <w:rFonts w:ascii="Arial" w:hAnsi="Arial" w:cs="Arial"/>
          <w:b/>
          <w:bCs/>
        </w:rPr>
        <w:t>umar Patel</w:t>
      </w:r>
      <w:r w:rsidR="00F04A63">
        <w:rPr>
          <w:rFonts w:ascii="Arial" w:hAnsi="Arial" w:cs="Arial"/>
        </w:rPr>
        <w:t>,</w:t>
      </w:r>
      <w:r w:rsidRPr="00C40FAA">
        <w:rPr>
          <w:rFonts w:ascii="Arial" w:hAnsi="Arial" w:cs="Arial"/>
        </w:rPr>
        <w:t xml:space="preserve"> Amit </w:t>
      </w:r>
      <w:r w:rsidRPr="007D2DE2">
        <w:rPr>
          <w:rFonts w:ascii="Times New Roman" w:hAnsi="Times New Roman"/>
          <w:sz w:val="20"/>
          <w:szCs w:val="20"/>
        </w:rPr>
        <w:t>Shard</w:t>
      </w:r>
      <w:r w:rsidR="00F04A63">
        <w:rPr>
          <w:rFonts w:ascii="Times New Roman" w:hAnsi="Times New Roman"/>
          <w:sz w:val="20"/>
          <w:szCs w:val="20"/>
          <w:vertAlign w:val="superscript"/>
        </w:rPr>
        <w:t>*</w:t>
      </w:r>
    </w:p>
    <w:p w14:paraId="03D17F97" w14:textId="69F0E8B5" w:rsidR="00AE3E37" w:rsidRPr="00F04A63" w:rsidRDefault="00F04A63">
      <w:pPr>
        <w:pStyle w:val="BodyText"/>
        <w:rPr>
          <w:rFonts w:ascii="Arial"/>
          <w:sz w:val="20"/>
        </w:rPr>
      </w:pPr>
      <w:r w:rsidRPr="00F04A63">
        <w:rPr>
          <w:rStyle w:val="SubtleEmphasis"/>
          <w:rFonts w:ascii="Times New Roman" w:hAnsi="Times New Roman"/>
          <w:i w:val="0"/>
          <w:iCs w:val="0"/>
          <w:color w:val="auto"/>
          <w:sz w:val="20"/>
          <w:szCs w:val="20"/>
        </w:rPr>
        <w:t>Department of Medicinal Chemistry, National Institute of Pharmaceutical Education and Research Ahmedabad, Opposite Air Force Station, Gandhinagar, Gujarat 382355, India</w:t>
      </w:r>
    </w:p>
    <w:p w14:paraId="106D817F" w14:textId="77777777" w:rsidR="00AE3E37" w:rsidRDefault="00AE3E37">
      <w:pPr>
        <w:rPr>
          <w:rFonts w:ascii="Arial"/>
          <w:sz w:val="21"/>
        </w:rPr>
      </w:pPr>
    </w:p>
    <w:p w14:paraId="21590189" w14:textId="2B55AA28" w:rsidR="008435E0" w:rsidRDefault="008435E0">
      <w:pPr>
        <w:rPr>
          <w:rFonts w:ascii="Arial"/>
          <w:sz w:val="21"/>
        </w:rPr>
        <w:sectPr w:rsidR="008435E0">
          <w:headerReference w:type="default" r:id="rId7"/>
          <w:footerReference w:type="default" r:id="rId8"/>
          <w:type w:val="continuous"/>
          <w:pgSz w:w="11910" w:h="16840"/>
          <w:pgMar w:top="1740" w:right="600" w:bottom="840" w:left="620" w:header="541" w:footer="642" w:gutter="0"/>
          <w:cols w:space="720"/>
        </w:sectPr>
      </w:pPr>
    </w:p>
    <w:p w14:paraId="32404E75" w14:textId="77777777" w:rsidR="00E404DC" w:rsidRPr="00E404DC" w:rsidRDefault="00E404DC" w:rsidP="00E404DC">
      <w:pPr>
        <w:jc w:val="both"/>
        <w:rPr>
          <w:rFonts w:cs="Arial"/>
          <w:color w:val="000000"/>
          <w:sz w:val="18"/>
          <w:szCs w:val="18"/>
          <w:shd w:val="clear" w:color="auto" w:fill="FFFFFF"/>
        </w:rPr>
      </w:pPr>
      <w:r w:rsidRPr="00E404DC">
        <w:rPr>
          <w:rFonts w:cs="Arial"/>
          <w:b/>
          <w:sz w:val="18"/>
          <w:szCs w:val="18"/>
        </w:rPr>
        <w:t>Introduction:</w:t>
      </w:r>
      <w:r w:rsidRPr="00E404DC">
        <w:rPr>
          <w:rFonts w:cs="Arial"/>
          <w:sz w:val="18"/>
          <w:szCs w:val="18"/>
        </w:rPr>
        <w:t xml:space="preserve"> With the emergence of chemo-resistance and vast cancer types, quest to design novel and potent anticancer molecules is always a priority to enrich the armamentarium of medicinal chemists. </w:t>
      </w:r>
      <w:r w:rsidRPr="00E404DC">
        <w:rPr>
          <w:rFonts w:cs="Arial"/>
          <w:color w:val="000000"/>
          <w:sz w:val="18"/>
          <w:szCs w:val="18"/>
          <w:shd w:val="clear" w:color="auto" w:fill="FFFFFF"/>
        </w:rPr>
        <w:t>The antiapoptotic Bcl-2 proteins are significantly over expressed in several tumor types and are striking targets for therapeutic intervention. This is because once the recalcitrant Bcl-2 proteins are inhibited, the cell follows the regular pathway of apoptosis, that significantly halts tumor progression.</w:t>
      </w:r>
    </w:p>
    <w:p w14:paraId="168987BD" w14:textId="77777777" w:rsidR="00E404DC" w:rsidRPr="00E404DC" w:rsidRDefault="00E404DC" w:rsidP="00E404DC">
      <w:pPr>
        <w:jc w:val="both"/>
        <w:rPr>
          <w:rFonts w:cs="Arial"/>
          <w:color w:val="000000"/>
          <w:sz w:val="18"/>
          <w:szCs w:val="18"/>
          <w:shd w:val="clear" w:color="auto" w:fill="FFFFFF"/>
        </w:rPr>
      </w:pPr>
      <w:r w:rsidRPr="00E404DC">
        <w:rPr>
          <w:rFonts w:cs="Arial"/>
          <w:b/>
          <w:bCs/>
          <w:sz w:val="18"/>
          <w:szCs w:val="18"/>
        </w:rPr>
        <w:t>Method:</w:t>
      </w:r>
      <w:r w:rsidRPr="00E404DC">
        <w:rPr>
          <w:rFonts w:cs="Arial"/>
          <w:bCs/>
          <w:sz w:val="18"/>
          <w:szCs w:val="18"/>
        </w:rPr>
        <w:t xml:space="preserve"> Virtually designed molecules were subjected to rigorous in silico screening (docking and ADMET studies). The intuition verified by computation was confirmed by wet bench experiments. Here several thiazole based scaffolds were designed in 3 steps and </w:t>
      </w:r>
      <w:r w:rsidRPr="00E404DC">
        <w:rPr>
          <w:rFonts w:cs="Arial"/>
          <w:bCs/>
          <w:i/>
          <w:sz w:val="18"/>
          <w:szCs w:val="18"/>
        </w:rPr>
        <w:t>in vitro</w:t>
      </w:r>
      <w:r w:rsidRPr="00E404DC">
        <w:rPr>
          <w:rFonts w:cs="Arial"/>
          <w:bCs/>
          <w:sz w:val="18"/>
          <w:szCs w:val="18"/>
        </w:rPr>
        <w:t xml:space="preserve"> evaluated against Bcl-2-Jurkat, </w:t>
      </w:r>
      <w:r w:rsidRPr="00E404DC">
        <w:rPr>
          <w:rFonts w:cs="Arial"/>
          <w:sz w:val="18"/>
          <w:szCs w:val="18"/>
        </w:rPr>
        <w:t>A-431</w:t>
      </w:r>
      <w:r w:rsidRPr="00E404DC">
        <w:rPr>
          <w:rFonts w:cs="Arial"/>
          <w:bCs/>
          <w:sz w:val="18"/>
          <w:szCs w:val="18"/>
        </w:rPr>
        <w:t xml:space="preserve"> and </w:t>
      </w:r>
      <w:r w:rsidRPr="00E404DC">
        <w:rPr>
          <w:rFonts w:cs="Arial"/>
          <w:sz w:val="18"/>
          <w:szCs w:val="18"/>
        </w:rPr>
        <w:t>ARPE-19 cell lines.</w:t>
      </w:r>
    </w:p>
    <w:p w14:paraId="07856F39" w14:textId="77777777" w:rsidR="00E404DC" w:rsidRPr="00E404DC" w:rsidRDefault="00E404DC" w:rsidP="00E404DC">
      <w:pPr>
        <w:jc w:val="both"/>
        <w:rPr>
          <w:rFonts w:cs="Arial"/>
          <w:sz w:val="18"/>
          <w:szCs w:val="18"/>
        </w:rPr>
      </w:pPr>
      <w:r w:rsidRPr="00E404DC">
        <w:rPr>
          <w:rFonts w:cs="Arial"/>
          <w:b/>
          <w:sz w:val="18"/>
          <w:szCs w:val="18"/>
        </w:rPr>
        <w:t>Results:</w:t>
      </w:r>
      <w:r w:rsidRPr="00E404DC">
        <w:rPr>
          <w:rFonts w:cs="Arial"/>
          <w:sz w:val="18"/>
          <w:szCs w:val="18"/>
        </w:rPr>
        <w:t xml:space="preserve"> Among them molecules </w:t>
      </w:r>
      <w:r w:rsidRPr="00E404DC">
        <w:rPr>
          <w:rFonts w:cs="Arial"/>
          <w:b/>
          <w:bCs/>
          <w:sz w:val="18"/>
          <w:szCs w:val="18"/>
        </w:rPr>
        <w:t>32</w:t>
      </w:r>
      <w:r w:rsidRPr="00E404DC">
        <w:rPr>
          <w:rFonts w:cs="Arial"/>
          <w:bCs/>
          <w:sz w:val="18"/>
          <w:szCs w:val="18"/>
        </w:rPr>
        <w:t xml:space="preserve">, </w:t>
      </w:r>
      <w:r w:rsidRPr="00E404DC">
        <w:rPr>
          <w:rFonts w:cs="Arial"/>
          <w:b/>
          <w:bCs/>
          <w:sz w:val="18"/>
          <w:szCs w:val="18"/>
        </w:rPr>
        <w:t>50</w:t>
      </w:r>
      <w:r w:rsidRPr="00E404DC">
        <w:rPr>
          <w:rFonts w:cs="Arial"/>
          <w:bCs/>
          <w:sz w:val="18"/>
          <w:szCs w:val="18"/>
        </w:rPr>
        <w:t xml:space="preserve">, </w:t>
      </w:r>
      <w:r w:rsidRPr="00E404DC">
        <w:rPr>
          <w:rFonts w:cs="Arial"/>
          <w:b/>
          <w:bCs/>
          <w:sz w:val="18"/>
          <w:szCs w:val="18"/>
        </w:rPr>
        <w:t>53</w:t>
      </w:r>
      <w:r w:rsidRPr="00E404DC">
        <w:rPr>
          <w:rFonts w:cs="Arial"/>
          <w:bCs/>
          <w:sz w:val="18"/>
          <w:szCs w:val="18"/>
        </w:rPr>
        <w:t xml:space="preserve">, </w:t>
      </w:r>
      <w:r w:rsidRPr="00E404DC">
        <w:rPr>
          <w:rFonts w:cs="Arial"/>
          <w:b/>
          <w:bCs/>
          <w:sz w:val="18"/>
          <w:szCs w:val="18"/>
        </w:rPr>
        <w:t>57</w:t>
      </w:r>
      <w:r w:rsidRPr="00E404DC">
        <w:rPr>
          <w:rFonts w:cs="Arial"/>
          <w:bCs/>
          <w:sz w:val="18"/>
          <w:szCs w:val="18"/>
        </w:rPr>
        <w:t xml:space="preserve"> are </w:t>
      </w:r>
      <w:r w:rsidRPr="00E404DC">
        <w:rPr>
          <w:rFonts w:cs="Arial"/>
          <w:b/>
          <w:bCs/>
          <w:sz w:val="18"/>
          <w:szCs w:val="18"/>
        </w:rPr>
        <w:t>59</w:t>
      </w:r>
      <w:r w:rsidRPr="00E404DC">
        <w:rPr>
          <w:rFonts w:cs="Arial"/>
          <w:bCs/>
          <w:sz w:val="18"/>
          <w:szCs w:val="18"/>
        </w:rPr>
        <w:t xml:space="preserve"> </w:t>
      </w:r>
      <w:r w:rsidRPr="00E404DC">
        <w:rPr>
          <w:rFonts w:cs="Arial"/>
          <w:sz w:val="18"/>
          <w:szCs w:val="18"/>
        </w:rPr>
        <w:t xml:space="preserve">showed potent activities against Bcl-2 </w:t>
      </w:r>
      <w:proofErr w:type="spellStart"/>
      <w:r w:rsidRPr="00E404DC">
        <w:rPr>
          <w:rFonts w:cs="Arial"/>
          <w:sz w:val="18"/>
          <w:szCs w:val="18"/>
        </w:rPr>
        <w:t>Jurkat</w:t>
      </w:r>
      <w:proofErr w:type="spellEnd"/>
      <w:r w:rsidRPr="00E404DC">
        <w:rPr>
          <w:rFonts w:cs="Arial"/>
          <w:sz w:val="18"/>
          <w:szCs w:val="18"/>
        </w:rPr>
        <w:t xml:space="preserve"> cell line at concentrations ranging from 32-46 µM respectively. One of the ligands </w:t>
      </w:r>
      <w:r w:rsidRPr="00E404DC">
        <w:rPr>
          <w:rFonts w:cs="Arial"/>
          <w:b/>
          <w:sz w:val="18"/>
          <w:szCs w:val="18"/>
        </w:rPr>
        <w:t>32</w:t>
      </w:r>
      <w:r w:rsidRPr="00E404DC">
        <w:rPr>
          <w:rFonts w:cs="Arial"/>
          <w:sz w:val="18"/>
          <w:szCs w:val="18"/>
        </w:rPr>
        <w:t xml:space="preserve"> emerged as most potent and was subjected to </w:t>
      </w:r>
      <w:r w:rsidRPr="00E404DC">
        <w:rPr>
          <w:rFonts w:cs="Arial"/>
          <w:bCs/>
          <w:sz w:val="18"/>
          <w:szCs w:val="18"/>
        </w:rPr>
        <w:t xml:space="preserve">molecular dynamics (MD) simulation with death defying anti-apoptotic Bcl-2 proteins (4IEH). It was shown that </w:t>
      </w:r>
      <w:r w:rsidRPr="00E404DC">
        <w:rPr>
          <w:rFonts w:cs="Arial"/>
          <w:b/>
          <w:bCs/>
          <w:sz w:val="18"/>
          <w:szCs w:val="18"/>
        </w:rPr>
        <w:t>32</w:t>
      </w:r>
      <w:r w:rsidRPr="00E404DC">
        <w:rPr>
          <w:rFonts w:cs="Arial"/>
          <w:bCs/>
          <w:sz w:val="18"/>
          <w:szCs w:val="18"/>
        </w:rPr>
        <w:t xml:space="preserve"> interacted with protein majorly via hydrophobic interactions and few electrostatic interactions were also observed. During the MD simulation conformational changes in Bcl-2 protein were observed that facilitates the movement of ligand inside the cavity of protein (majorly involving </w:t>
      </w:r>
      <w:r w:rsidRPr="00E404DC">
        <w:rPr>
          <w:rFonts w:ascii="Calibri" w:hAnsi="Calibri" w:cs="Calibri"/>
          <w:bCs/>
          <w:sz w:val="18"/>
          <w:szCs w:val="18"/>
        </w:rPr>
        <w:t>α</w:t>
      </w:r>
      <w:r w:rsidRPr="00E404DC">
        <w:rPr>
          <w:rFonts w:cs="Arial"/>
          <w:bCs/>
          <w:sz w:val="18"/>
          <w:szCs w:val="18"/>
        </w:rPr>
        <w:t xml:space="preserve">3, </w:t>
      </w:r>
      <w:r w:rsidRPr="00E404DC">
        <w:rPr>
          <w:rFonts w:ascii="Calibri" w:hAnsi="Calibri" w:cs="Calibri"/>
          <w:bCs/>
          <w:sz w:val="18"/>
          <w:szCs w:val="18"/>
        </w:rPr>
        <w:t>α</w:t>
      </w:r>
      <w:r w:rsidRPr="00E404DC">
        <w:rPr>
          <w:rFonts w:cs="Arial"/>
          <w:bCs/>
          <w:sz w:val="18"/>
          <w:szCs w:val="18"/>
        </w:rPr>
        <w:t xml:space="preserve">4, </w:t>
      </w:r>
      <w:r w:rsidRPr="00E404DC">
        <w:rPr>
          <w:rFonts w:ascii="Calibri" w:hAnsi="Calibri" w:cs="Calibri"/>
          <w:bCs/>
          <w:sz w:val="18"/>
          <w:szCs w:val="18"/>
        </w:rPr>
        <w:t>α</w:t>
      </w:r>
      <w:r w:rsidRPr="00E404DC">
        <w:rPr>
          <w:rFonts w:cs="Arial"/>
          <w:bCs/>
          <w:sz w:val="18"/>
          <w:szCs w:val="18"/>
        </w:rPr>
        <w:t xml:space="preserve">5, helices) </w:t>
      </w:r>
      <w:r w:rsidRPr="00E404DC">
        <w:rPr>
          <w:rFonts w:cs="Arial"/>
          <w:sz w:val="18"/>
          <w:szCs w:val="18"/>
        </w:rPr>
        <w:t xml:space="preserve">Flow cytometry analysis of compound </w:t>
      </w:r>
      <w:r w:rsidRPr="00E404DC">
        <w:rPr>
          <w:rFonts w:cs="Arial"/>
          <w:b/>
          <w:sz w:val="18"/>
          <w:szCs w:val="18"/>
        </w:rPr>
        <w:t>32</w:t>
      </w:r>
      <w:r w:rsidRPr="00E404DC">
        <w:rPr>
          <w:rFonts w:cs="Arial"/>
          <w:sz w:val="18"/>
          <w:szCs w:val="18"/>
        </w:rPr>
        <w:t xml:space="preserve"> suggested that cell undergoes 87.66% </w:t>
      </w:r>
      <w:r w:rsidRPr="00E404DC">
        <w:rPr>
          <w:rFonts w:cs="Arial"/>
          <w:bCs/>
          <w:color w:val="222222"/>
          <w:sz w:val="18"/>
          <w:szCs w:val="18"/>
          <w:shd w:val="clear" w:color="auto" w:fill="FFFFFF"/>
        </w:rPr>
        <w:t>Annexin</w:t>
      </w:r>
      <w:r w:rsidRPr="00E404DC">
        <w:rPr>
          <w:rFonts w:cs="Arial"/>
          <w:color w:val="222222"/>
          <w:sz w:val="18"/>
          <w:szCs w:val="18"/>
          <w:shd w:val="clear" w:color="auto" w:fill="FFFFFF"/>
        </w:rPr>
        <w:t> A5</w:t>
      </w:r>
      <w:r w:rsidRPr="00E404DC">
        <w:rPr>
          <w:rFonts w:cs="Arial"/>
          <w:sz w:val="18"/>
          <w:szCs w:val="18"/>
        </w:rPr>
        <w:t xml:space="preserve"> positive. </w:t>
      </w:r>
    </w:p>
    <w:p w14:paraId="0A5C4819" w14:textId="092D6D16" w:rsidR="00595B28" w:rsidRDefault="00E404DC" w:rsidP="00E404DC">
      <w:pPr>
        <w:jc w:val="both"/>
        <w:rPr>
          <w:rFonts w:cs="Arial"/>
          <w:sz w:val="20"/>
          <w:szCs w:val="20"/>
        </w:rPr>
      </w:pPr>
      <w:r w:rsidRPr="00E404DC">
        <w:rPr>
          <w:rFonts w:cs="Arial"/>
          <w:b/>
          <w:sz w:val="18"/>
          <w:szCs w:val="18"/>
        </w:rPr>
        <w:t>Discussion:</w:t>
      </w:r>
      <w:r w:rsidRPr="00E404DC">
        <w:rPr>
          <w:rFonts w:cs="Arial"/>
          <w:sz w:val="18"/>
          <w:szCs w:val="18"/>
        </w:rPr>
        <w:t xml:space="preserve"> This confirmed our hypothesis that rationally designed molecules validated by computational means can significantly target tumor cells and hits developed can be effectively converted into leads by downstream modifications</w:t>
      </w:r>
      <w:r w:rsidRPr="00E404DC">
        <w:rPr>
          <w:rFonts w:cs="Arial"/>
          <w:sz w:val="20"/>
          <w:szCs w:val="20"/>
        </w:rPr>
        <w:t>.</w:t>
      </w:r>
    </w:p>
    <w:p w14:paraId="7034CEA2" w14:textId="5DF0D1FE" w:rsidR="00AE3E37" w:rsidRPr="009F0199" w:rsidRDefault="009F0199" w:rsidP="009F0199">
      <w:pPr>
        <w:pStyle w:val="Heading3"/>
        <w:spacing w:before="74"/>
        <w:ind w:left="0"/>
        <w:rPr>
          <w:b w:val="0"/>
        </w:rPr>
      </w:pPr>
      <w:r w:rsidRPr="00C05DAF">
        <w:rPr>
          <w:rFonts w:ascii="Times New Roman" w:eastAsia="AdvOT1ef757c0" w:hAnsi="Times New Roman"/>
          <w:noProof/>
          <w:sz w:val="24"/>
          <w:szCs w:val="24"/>
          <w:highlight w:val="yellow"/>
          <w:lang w:eastAsia="en-IN"/>
        </w:rPr>
        <w:drawing>
          <wp:inline distT="0" distB="0" distL="0" distR="0" wp14:anchorId="7AB4DBC1" wp14:editId="5598C166">
            <wp:extent cx="3165475" cy="3122930"/>
            <wp:effectExtent l="0" t="0" r="0" b="127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3122930"/>
                    </a:xfrm>
                    <a:prstGeom prst="rect">
                      <a:avLst/>
                    </a:prstGeom>
                    <a:noFill/>
                    <a:ln>
                      <a:noFill/>
                    </a:ln>
                  </pic:spPr>
                </pic:pic>
              </a:graphicData>
            </a:graphic>
          </wp:inline>
        </w:drawing>
      </w:r>
    </w:p>
    <w:p w14:paraId="5FA95DA6" w14:textId="0C536D70" w:rsidR="008435E0" w:rsidRDefault="008435E0" w:rsidP="008435E0">
      <w:pPr>
        <w:pStyle w:val="BodyText"/>
        <w:spacing w:before="2"/>
        <w:jc w:val="both"/>
        <w:rPr>
          <w:rFonts w:cs="Arial"/>
          <w:shd w:val="clear" w:color="auto" w:fill="FFFFFF"/>
        </w:rPr>
      </w:pPr>
      <w:r w:rsidRPr="008435E0">
        <w:rPr>
          <w:rFonts w:cs="Arial"/>
          <w:shd w:val="clear" w:color="auto" w:fill="FFFFFF"/>
        </w:rPr>
        <w:t xml:space="preserve">complex displaying the conformational change occurring during the MD simulation. Starting structure and the structure after 100 ns simulation time are displayed in tan and blue </w:t>
      </w:r>
      <w:proofErr w:type="spellStart"/>
      <w:r w:rsidRPr="008435E0">
        <w:rPr>
          <w:rFonts w:cs="Arial"/>
          <w:shd w:val="clear" w:color="auto" w:fill="FFFFFF"/>
        </w:rPr>
        <w:t>colour</w:t>
      </w:r>
      <w:proofErr w:type="spellEnd"/>
      <w:r w:rsidRPr="008435E0">
        <w:rPr>
          <w:rFonts w:cs="Arial"/>
          <w:shd w:val="clear" w:color="auto" w:fill="FFFFFF"/>
        </w:rPr>
        <w:t xml:space="preserve">, respectively. Ligand </w:t>
      </w:r>
      <w:r w:rsidRPr="008435E0">
        <w:rPr>
          <w:rFonts w:cs="Arial"/>
          <w:b/>
          <w:shd w:val="clear" w:color="auto" w:fill="FFFFFF"/>
        </w:rPr>
        <w:t>32</w:t>
      </w:r>
      <w:r w:rsidRPr="008435E0">
        <w:rPr>
          <w:rFonts w:cs="Arial"/>
          <w:shd w:val="clear" w:color="auto" w:fill="FFFFFF"/>
        </w:rPr>
        <w:t xml:space="preserve"> is displayed in ball and stick representation showing the positional transition of ligand during the simulation. All the helices are numbered based on the Bcl-2 X-ray structure (PDB ID: 4IEH). Nitrogen, </w:t>
      </w:r>
      <w:proofErr w:type="spellStart"/>
      <w:r w:rsidRPr="008435E0">
        <w:rPr>
          <w:rFonts w:cs="Arial"/>
          <w:shd w:val="clear" w:color="auto" w:fill="FFFFFF"/>
        </w:rPr>
        <w:t>sulphur</w:t>
      </w:r>
      <w:proofErr w:type="spellEnd"/>
      <w:r w:rsidRPr="008435E0">
        <w:rPr>
          <w:rFonts w:cs="Arial"/>
          <w:shd w:val="clear" w:color="auto" w:fill="FFFFFF"/>
        </w:rPr>
        <w:t xml:space="preserve"> and hydrogen atoms are shown in blue, yellow and white </w:t>
      </w:r>
      <w:proofErr w:type="spellStart"/>
      <w:r w:rsidRPr="008435E0">
        <w:rPr>
          <w:rFonts w:cs="Arial"/>
          <w:shd w:val="clear" w:color="auto" w:fill="FFFFFF"/>
        </w:rPr>
        <w:t>colour</w:t>
      </w:r>
      <w:proofErr w:type="spellEnd"/>
      <w:r w:rsidRPr="008435E0">
        <w:rPr>
          <w:rFonts w:cs="Arial"/>
          <w:shd w:val="clear" w:color="auto" w:fill="FFFFFF"/>
        </w:rPr>
        <w:t xml:space="preserve">, respectively. Carbon atoms are displayed in tan and blue </w:t>
      </w:r>
      <w:proofErr w:type="spellStart"/>
      <w:r w:rsidRPr="008435E0">
        <w:rPr>
          <w:rFonts w:cs="Arial"/>
          <w:shd w:val="clear" w:color="auto" w:fill="FFFFFF"/>
        </w:rPr>
        <w:t>colour</w:t>
      </w:r>
      <w:proofErr w:type="spellEnd"/>
      <w:r w:rsidRPr="008435E0">
        <w:rPr>
          <w:rFonts w:cs="Arial"/>
          <w:shd w:val="clear" w:color="auto" w:fill="FFFFFF"/>
        </w:rPr>
        <w:t xml:space="preserve"> for starting and final simulated structure, respectively. This figure </w:t>
      </w:r>
      <w:r w:rsidRPr="008435E0">
        <w:rPr>
          <w:rFonts w:cs="Arial"/>
        </w:rPr>
        <w:t>and subsequent molecular plots were</w:t>
      </w:r>
      <w:r w:rsidRPr="008435E0">
        <w:rPr>
          <w:rFonts w:cs="Arial"/>
          <w:shd w:val="clear" w:color="auto" w:fill="FFFFFF"/>
        </w:rPr>
        <w:t xml:space="preserve"> created using the UCSF Chimera package.</w:t>
      </w:r>
    </w:p>
    <w:p w14:paraId="6F9E80F3" w14:textId="77777777" w:rsidR="009F0199" w:rsidRPr="008435E0" w:rsidRDefault="009F0199" w:rsidP="008435E0">
      <w:pPr>
        <w:pStyle w:val="BodyText"/>
        <w:spacing w:before="2"/>
        <w:jc w:val="both"/>
        <w:rPr>
          <w:b/>
        </w:rPr>
      </w:pPr>
    </w:p>
    <w:p w14:paraId="007376DA" w14:textId="77777777" w:rsidR="009F0199" w:rsidRDefault="009F0199" w:rsidP="009F0199">
      <w:pPr>
        <w:spacing w:line="204" w:lineRule="exact"/>
        <w:rPr>
          <w:rFonts w:ascii="Arial"/>
          <w:b/>
          <w:sz w:val="20"/>
        </w:rPr>
      </w:pPr>
      <w:r>
        <w:rPr>
          <w:rFonts w:ascii="Arial"/>
          <w:b/>
          <w:sz w:val="20"/>
        </w:rPr>
        <w:t xml:space="preserve">References </w:t>
      </w:r>
    </w:p>
    <w:p w14:paraId="68A33BC5" w14:textId="77777777" w:rsidR="009F0199" w:rsidRPr="007220B7" w:rsidRDefault="009F0199" w:rsidP="009F019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7220B7">
        <w:rPr>
          <w:rFonts w:asciiTheme="minorHAnsi" w:hAnsiTheme="minorHAnsi" w:cstheme="minorHAnsi"/>
          <w:color w:val="222222"/>
          <w:sz w:val="18"/>
          <w:szCs w:val="18"/>
          <w:shd w:val="clear" w:color="auto" w:fill="FFFFFF"/>
        </w:rPr>
        <w:t>Azmi AS, Wang Z, Philip PA, Mohammad RM, Sarkar FH (2011) Emerging Bcl-2 inhibitors for the treatment of cancer. </w:t>
      </w:r>
      <w:r w:rsidRPr="007220B7">
        <w:rPr>
          <w:rFonts w:asciiTheme="minorHAnsi" w:hAnsiTheme="minorHAnsi" w:cstheme="minorHAnsi"/>
          <w:i/>
          <w:iCs/>
          <w:color w:val="222222"/>
          <w:sz w:val="18"/>
          <w:szCs w:val="18"/>
          <w:shd w:val="clear" w:color="auto" w:fill="FFFFFF"/>
        </w:rPr>
        <w:t>Expert opinion on emerging drugs</w:t>
      </w:r>
      <w:r w:rsidRPr="007220B7">
        <w:rPr>
          <w:rFonts w:asciiTheme="minorHAnsi" w:hAnsiTheme="minorHAnsi" w:cstheme="minorHAnsi"/>
          <w:color w:val="222222"/>
          <w:sz w:val="18"/>
          <w:szCs w:val="18"/>
          <w:shd w:val="clear" w:color="auto" w:fill="FFFFFF"/>
        </w:rPr>
        <w:t> </w:t>
      </w:r>
      <w:r w:rsidRPr="007220B7">
        <w:rPr>
          <w:rFonts w:asciiTheme="minorHAnsi" w:hAnsiTheme="minorHAnsi" w:cstheme="minorHAnsi"/>
          <w:i/>
          <w:iCs/>
          <w:color w:val="222222"/>
          <w:sz w:val="18"/>
          <w:szCs w:val="18"/>
          <w:shd w:val="clear" w:color="auto" w:fill="FFFFFF"/>
        </w:rPr>
        <w:t>16</w:t>
      </w:r>
      <w:r w:rsidRPr="007220B7">
        <w:rPr>
          <w:rFonts w:asciiTheme="minorHAnsi" w:hAnsiTheme="minorHAnsi" w:cstheme="minorHAnsi"/>
          <w:color w:val="222222"/>
          <w:sz w:val="18"/>
          <w:szCs w:val="18"/>
          <w:shd w:val="clear" w:color="auto" w:fill="FFFFFF"/>
        </w:rPr>
        <w:t>: 59-70.</w:t>
      </w:r>
    </w:p>
    <w:p w14:paraId="5938E5B5" w14:textId="77777777" w:rsidR="009F0199" w:rsidRPr="00DF0B8F" w:rsidRDefault="009F0199" w:rsidP="009F0199">
      <w:pPr>
        <w:pStyle w:val="ListParagraph"/>
        <w:numPr>
          <w:ilvl w:val="0"/>
          <w:numId w:val="3"/>
        </w:numPr>
        <w:tabs>
          <w:tab w:val="left" w:pos="384"/>
        </w:tabs>
        <w:spacing w:before="103" w:line="216" w:lineRule="exact"/>
        <w:ind w:right="138" w:hanging="283"/>
        <w:rPr>
          <w:rFonts w:ascii="Tw Cen MT" w:hAnsi="Tw Cen MT" w:cstheme="minorHAnsi"/>
          <w:sz w:val="18"/>
          <w:szCs w:val="18"/>
        </w:rPr>
      </w:pPr>
      <w:r w:rsidRPr="007220B7">
        <w:rPr>
          <w:rFonts w:ascii="Tw Cen MT" w:hAnsi="Tw Cen MT" w:cs="Arial"/>
          <w:color w:val="222222"/>
          <w:sz w:val="18"/>
          <w:szCs w:val="18"/>
          <w:shd w:val="clear" w:color="auto" w:fill="FFFFFF"/>
        </w:rPr>
        <w:t xml:space="preserve">Abraham MJ, </w:t>
      </w:r>
      <w:proofErr w:type="spellStart"/>
      <w:r w:rsidRPr="007220B7">
        <w:rPr>
          <w:rFonts w:ascii="Tw Cen MT" w:hAnsi="Tw Cen MT" w:cs="Arial"/>
          <w:color w:val="222222"/>
          <w:sz w:val="18"/>
          <w:szCs w:val="18"/>
          <w:shd w:val="clear" w:color="auto" w:fill="FFFFFF"/>
        </w:rPr>
        <w:t>Murtola</w:t>
      </w:r>
      <w:proofErr w:type="spellEnd"/>
      <w:r w:rsidRPr="007220B7">
        <w:rPr>
          <w:rFonts w:ascii="Tw Cen MT" w:hAnsi="Tw Cen MT" w:cs="Arial"/>
          <w:color w:val="222222"/>
          <w:sz w:val="18"/>
          <w:szCs w:val="18"/>
          <w:shd w:val="clear" w:color="auto" w:fill="FFFFFF"/>
        </w:rPr>
        <w:t xml:space="preserve"> T, Schulz R, Pall, S, Smith JC, Hess B, Lindahl E</w:t>
      </w:r>
      <w:r>
        <w:rPr>
          <w:rFonts w:ascii="Tw Cen MT" w:hAnsi="Tw Cen MT" w:cs="Arial"/>
          <w:color w:val="222222"/>
          <w:sz w:val="18"/>
          <w:szCs w:val="18"/>
          <w:shd w:val="clear" w:color="auto" w:fill="FFFFFF"/>
        </w:rPr>
        <w:t xml:space="preserve"> </w:t>
      </w:r>
      <w:r w:rsidRPr="007220B7">
        <w:rPr>
          <w:rFonts w:ascii="Tw Cen MT" w:hAnsi="Tw Cen MT" w:cs="Arial"/>
          <w:color w:val="222222"/>
          <w:sz w:val="18"/>
          <w:szCs w:val="18"/>
          <w:shd w:val="clear" w:color="auto" w:fill="FFFFFF"/>
        </w:rPr>
        <w:t>(2015) GROMACS: High performance molecular simulations through multi-level parallelism from laptops to supercomputers. </w:t>
      </w:r>
      <w:proofErr w:type="spellStart"/>
      <w:r w:rsidRPr="007220B7">
        <w:rPr>
          <w:rFonts w:ascii="Tw Cen MT" w:hAnsi="Tw Cen MT" w:cs="Arial"/>
          <w:i/>
          <w:iCs/>
          <w:color w:val="222222"/>
          <w:sz w:val="18"/>
          <w:szCs w:val="18"/>
          <w:shd w:val="clear" w:color="auto" w:fill="FFFFFF"/>
        </w:rPr>
        <w:t>SoftwareX</w:t>
      </w:r>
      <w:proofErr w:type="spellEnd"/>
      <w:r w:rsidRPr="007220B7">
        <w:rPr>
          <w:rFonts w:ascii="Tw Cen MT" w:hAnsi="Tw Cen MT" w:cs="Arial"/>
          <w:color w:val="222222"/>
          <w:sz w:val="18"/>
          <w:szCs w:val="18"/>
          <w:shd w:val="clear" w:color="auto" w:fill="FFFFFF"/>
        </w:rPr>
        <w:t>, </w:t>
      </w:r>
      <w:r w:rsidRPr="007220B7">
        <w:rPr>
          <w:rFonts w:ascii="Tw Cen MT" w:hAnsi="Tw Cen MT" w:cs="Arial"/>
          <w:i/>
          <w:iCs/>
          <w:color w:val="222222"/>
          <w:sz w:val="18"/>
          <w:szCs w:val="18"/>
          <w:shd w:val="clear" w:color="auto" w:fill="FFFFFF"/>
        </w:rPr>
        <w:t>1</w:t>
      </w:r>
      <w:r w:rsidRPr="007220B7">
        <w:rPr>
          <w:rFonts w:ascii="Tw Cen MT" w:hAnsi="Tw Cen MT" w:cs="Arial"/>
          <w:color w:val="222222"/>
          <w:sz w:val="18"/>
          <w:szCs w:val="18"/>
          <w:shd w:val="clear" w:color="auto" w:fill="FFFFFF"/>
        </w:rPr>
        <w:t>: 19-25.</w:t>
      </w:r>
    </w:p>
    <w:p w14:paraId="76D140B2" w14:textId="77777777" w:rsidR="009F0199" w:rsidRPr="00DF0B8F" w:rsidRDefault="009F0199" w:rsidP="009F0199">
      <w:pPr>
        <w:pStyle w:val="ListParagraph"/>
        <w:numPr>
          <w:ilvl w:val="0"/>
          <w:numId w:val="3"/>
        </w:numPr>
        <w:tabs>
          <w:tab w:val="left" w:pos="384"/>
        </w:tabs>
        <w:spacing w:before="103" w:line="216" w:lineRule="exact"/>
        <w:ind w:right="138" w:hanging="283"/>
        <w:rPr>
          <w:rFonts w:ascii="Tw Cen MT" w:hAnsi="Tw Cen MT" w:cstheme="minorHAnsi"/>
          <w:sz w:val="18"/>
          <w:szCs w:val="18"/>
        </w:rPr>
      </w:pPr>
      <w:r w:rsidRPr="00DF0B8F">
        <w:rPr>
          <w:rFonts w:ascii="Tw Cen MT" w:hAnsi="Tw Cen MT" w:cs="Arial"/>
          <w:color w:val="222222"/>
          <w:sz w:val="18"/>
          <w:szCs w:val="18"/>
          <w:shd w:val="clear" w:color="auto" w:fill="FFFFFF"/>
        </w:rPr>
        <w:t xml:space="preserve">Pang YP, Dai H, Smith A, Meng XW, Schneider PA, Kaufmann SH (2012) </w:t>
      </w:r>
      <w:proofErr w:type="spellStart"/>
      <w:r w:rsidRPr="00DF0B8F">
        <w:rPr>
          <w:rFonts w:ascii="Tw Cen MT" w:hAnsi="Tw Cen MT" w:cs="Arial"/>
          <w:color w:val="222222"/>
          <w:sz w:val="18"/>
          <w:szCs w:val="18"/>
          <w:shd w:val="clear" w:color="auto" w:fill="FFFFFF"/>
        </w:rPr>
        <w:t>Bak</w:t>
      </w:r>
      <w:proofErr w:type="spellEnd"/>
      <w:r w:rsidRPr="00DF0B8F">
        <w:rPr>
          <w:rFonts w:ascii="Tw Cen MT" w:hAnsi="Tw Cen MT" w:cs="Arial"/>
          <w:color w:val="222222"/>
          <w:sz w:val="18"/>
          <w:szCs w:val="18"/>
          <w:shd w:val="clear" w:color="auto" w:fill="FFFFFF"/>
        </w:rPr>
        <w:t xml:space="preserve"> conformational changes induced by ligand binding: insight into BH3 domain binding and </w:t>
      </w:r>
      <w:proofErr w:type="spellStart"/>
      <w:r w:rsidRPr="00DF0B8F">
        <w:rPr>
          <w:rFonts w:ascii="Tw Cen MT" w:hAnsi="Tw Cen MT" w:cs="Arial"/>
          <w:color w:val="222222"/>
          <w:sz w:val="18"/>
          <w:szCs w:val="18"/>
          <w:shd w:val="clear" w:color="auto" w:fill="FFFFFF"/>
        </w:rPr>
        <w:t>Bak</w:t>
      </w:r>
      <w:proofErr w:type="spellEnd"/>
      <w:r w:rsidRPr="00DF0B8F">
        <w:rPr>
          <w:rFonts w:ascii="Tw Cen MT" w:hAnsi="Tw Cen MT" w:cs="Arial"/>
          <w:color w:val="222222"/>
          <w:sz w:val="18"/>
          <w:szCs w:val="18"/>
          <w:shd w:val="clear" w:color="auto" w:fill="FFFFFF"/>
        </w:rPr>
        <w:t xml:space="preserve"> homo-oligomerization. </w:t>
      </w:r>
      <w:r w:rsidRPr="00DF0B8F">
        <w:rPr>
          <w:rFonts w:ascii="Tw Cen MT" w:hAnsi="Tw Cen MT" w:cs="Arial"/>
          <w:i/>
          <w:iCs/>
          <w:color w:val="222222"/>
          <w:sz w:val="18"/>
          <w:szCs w:val="18"/>
          <w:shd w:val="clear" w:color="auto" w:fill="FFFFFF"/>
        </w:rPr>
        <w:t>Scientific reports</w:t>
      </w:r>
      <w:r w:rsidRPr="00DF0B8F">
        <w:rPr>
          <w:rFonts w:ascii="Tw Cen MT" w:hAnsi="Tw Cen MT" w:cs="Arial"/>
          <w:color w:val="222222"/>
          <w:sz w:val="18"/>
          <w:szCs w:val="18"/>
          <w:shd w:val="clear" w:color="auto" w:fill="FFFFFF"/>
        </w:rPr>
        <w:t> </w:t>
      </w:r>
      <w:r w:rsidRPr="00DF0B8F">
        <w:rPr>
          <w:rFonts w:ascii="Tw Cen MT" w:hAnsi="Tw Cen MT" w:cs="Arial"/>
          <w:i/>
          <w:iCs/>
          <w:color w:val="222222"/>
          <w:sz w:val="18"/>
          <w:szCs w:val="18"/>
          <w:shd w:val="clear" w:color="auto" w:fill="FFFFFF"/>
        </w:rPr>
        <w:t>2</w:t>
      </w:r>
      <w:r w:rsidRPr="00DF0B8F">
        <w:rPr>
          <w:rFonts w:ascii="Tw Cen MT" w:hAnsi="Tw Cen MT" w:cs="Arial"/>
          <w:color w:val="222222"/>
          <w:sz w:val="18"/>
          <w:szCs w:val="18"/>
          <w:shd w:val="clear" w:color="auto" w:fill="FFFFFF"/>
        </w:rPr>
        <w:t>: p257.</w:t>
      </w:r>
    </w:p>
    <w:p w14:paraId="54ABD4BD" w14:textId="77777777" w:rsidR="009F0199" w:rsidRDefault="009F0199" w:rsidP="009F0199">
      <w:pPr>
        <w:pStyle w:val="ListParagraph"/>
        <w:numPr>
          <w:ilvl w:val="0"/>
          <w:numId w:val="3"/>
        </w:numPr>
        <w:tabs>
          <w:tab w:val="left" w:pos="384"/>
        </w:tabs>
        <w:spacing w:before="103" w:line="216" w:lineRule="exact"/>
        <w:ind w:right="138" w:hanging="283"/>
        <w:rPr>
          <w:sz w:val="18"/>
          <w:szCs w:val="18"/>
        </w:rPr>
      </w:pPr>
      <w:r w:rsidRPr="007D3206">
        <w:rPr>
          <w:sz w:val="18"/>
          <w:szCs w:val="18"/>
        </w:rPr>
        <w:t xml:space="preserve">Pettersen EF, Goddard TD, Huang CC, Couch GS, Greenblatt DM, Meng EC, </w:t>
      </w:r>
      <w:proofErr w:type="spellStart"/>
      <w:r w:rsidRPr="007D3206">
        <w:rPr>
          <w:sz w:val="18"/>
          <w:szCs w:val="18"/>
        </w:rPr>
        <w:t>Ferrin</w:t>
      </w:r>
      <w:proofErr w:type="spellEnd"/>
      <w:r w:rsidRPr="007D3206">
        <w:rPr>
          <w:sz w:val="18"/>
          <w:szCs w:val="18"/>
        </w:rPr>
        <w:t xml:space="preserve"> TE (2004) UCSF Chimera-a visualization system for exploratory research and analysis. Journal of computational chemistry 25: 1605-1612</w:t>
      </w:r>
      <w:r>
        <w:rPr>
          <w:sz w:val="18"/>
          <w:szCs w:val="18"/>
        </w:rPr>
        <w:t>.</w:t>
      </w:r>
    </w:p>
    <w:p w14:paraId="5F0D3C09" w14:textId="77777777" w:rsidR="009F0199" w:rsidRPr="00C40FAA" w:rsidRDefault="009F0199" w:rsidP="009F019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C40FAA">
        <w:rPr>
          <w:rFonts w:asciiTheme="minorHAnsi" w:hAnsiTheme="minorHAnsi" w:cstheme="minorHAnsi"/>
          <w:color w:val="222222"/>
          <w:sz w:val="18"/>
          <w:szCs w:val="18"/>
          <w:shd w:val="clear" w:color="auto" w:fill="FFFFFF"/>
        </w:rPr>
        <w:t xml:space="preserve">Petros AM, </w:t>
      </w:r>
      <w:proofErr w:type="spellStart"/>
      <w:r w:rsidRPr="00C40FAA">
        <w:rPr>
          <w:rFonts w:asciiTheme="minorHAnsi" w:hAnsiTheme="minorHAnsi" w:cstheme="minorHAnsi"/>
          <w:color w:val="222222"/>
          <w:sz w:val="18"/>
          <w:szCs w:val="18"/>
          <w:shd w:val="clear" w:color="auto" w:fill="FFFFFF"/>
        </w:rPr>
        <w:t>Olejniczak</w:t>
      </w:r>
      <w:proofErr w:type="spellEnd"/>
      <w:r w:rsidRPr="00C40FAA">
        <w:rPr>
          <w:rFonts w:asciiTheme="minorHAnsi" w:hAnsiTheme="minorHAnsi" w:cstheme="minorHAnsi"/>
          <w:color w:val="222222"/>
          <w:sz w:val="18"/>
          <w:szCs w:val="18"/>
          <w:shd w:val="clear" w:color="auto" w:fill="FFFFFF"/>
        </w:rPr>
        <w:t xml:space="preserve"> ET, </w:t>
      </w:r>
      <w:proofErr w:type="spellStart"/>
      <w:r w:rsidRPr="00C40FAA">
        <w:rPr>
          <w:rFonts w:asciiTheme="minorHAnsi" w:hAnsiTheme="minorHAnsi" w:cstheme="minorHAnsi"/>
          <w:color w:val="222222"/>
          <w:sz w:val="18"/>
          <w:szCs w:val="18"/>
          <w:shd w:val="clear" w:color="auto" w:fill="FFFFFF"/>
        </w:rPr>
        <w:t>Fesik</w:t>
      </w:r>
      <w:proofErr w:type="spellEnd"/>
      <w:r w:rsidRPr="00C40FAA">
        <w:rPr>
          <w:rFonts w:asciiTheme="minorHAnsi" w:hAnsiTheme="minorHAnsi" w:cstheme="minorHAnsi"/>
          <w:color w:val="222222"/>
          <w:sz w:val="18"/>
          <w:szCs w:val="18"/>
          <w:shd w:val="clear" w:color="auto" w:fill="FFFFFF"/>
        </w:rPr>
        <w:t xml:space="preserve"> SW (2004) Structural biology of the Bcl-2 family of proteins. </w:t>
      </w:r>
      <w:proofErr w:type="spellStart"/>
      <w:r w:rsidRPr="00C40FAA">
        <w:rPr>
          <w:rFonts w:asciiTheme="minorHAnsi" w:hAnsiTheme="minorHAnsi" w:cstheme="minorHAnsi"/>
          <w:i/>
          <w:iCs/>
          <w:color w:val="222222"/>
          <w:sz w:val="18"/>
          <w:szCs w:val="18"/>
          <w:shd w:val="clear" w:color="auto" w:fill="FFFFFF"/>
        </w:rPr>
        <w:t>Biochimica</w:t>
      </w:r>
      <w:proofErr w:type="spellEnd"/>
      <w:r w:rsidRPr="00C40FAA">
        <w:rPr>
          <w:rFonts w:asciiTheme="minorHAnsi" w:hAnsiTheme="minorHAnsi" w:cstheme="minorHAnsi"/>
          <w:i/>
          <w:iCs/>
          <w:color w:val="222222"/>
          <w:sz w:val="18"/>
          <w:szCs w:val="18"/>
          <w:shd w:val="clear" w:color="auto" w:fill="FFFFFF"/>
        </w:rPr>
        <w:t xml:space="preserve"> et </w:t>
      </w:r>
      <w:proofErr w:type="spellStart"/>
      <w:r w:rsidRPr="00C40FAA">
        <w:rPr>
          <w:rFonts w:asciiTheme="minorHAnsi" w:hAnsiTheme="minorHAnsi" w:cstheme="minorHAnsi"/>
          <w:i/>
          <w:iCs/>
          <w:color w:val="222222"/>
          <w:sz w:val="18"/>
          <w:szCs w:val="18"/>
          <w:shd w:val="clear" w:color="auto" w:fill="FFFFFF"/>
        </w:rPr>
        <w:t>Biophysica</w:t>
      </w:r>
      <w:proofErr w:type="spellEnd"/>
      <w:r w:rsidRPr="00C40FAA">
        <w:rPr>
          <w:rFonts w:asciiTheme="minorHAnsi" w:hAnsiTheme="minorHAnsi" w:cstheme="minorHAnsi"/>
          <w:i/>
          <w:iCs/>
          <w:color w:val="222222"/>
          <w:sz w:val="18"/>
          <w:szCs w:val="18"/>
          <w:shd w:val="clear" w:color="auto" w:fill="FFFFFF"/>
        </w:rPr>
        <w:t xml:space="preserve"> Acta (BBA)-Molecular Cell Research</w:t>
      </w:r>
      <w:r w:rsidRPr="00C40FAA">
        <w:rPr>
          <w:rFonts w:asciiTheme="minorHAnsi" w:hAnsiTheme="minorHAnsi" w:cstheme="minorHAnsi"/>
          <w:color w:val="222222"/>
          <w:sz w:val="18"/>
          <w:szCs w:val="18"/>
          <w:shd w:val="clear" w:color="auto" w:fill="FFFFFF"/>
        </w:rPr>
        <w:t>, </w:t>
      </w:r>
      <w:r w:rsidRPr="00C40FAA">
        <w:rPr>
          <w:rFonts w:asciiTheme="minorHAnsi" w:hAnsiTheme="minorHAnsi" w:cstheme="minorHAnsi"/>
          <w:i/>
          <w:iCs/>
          <w:color w:val="222222"/>
          <w:sz w:val="18"/>
          <w:szCs w:val="18"/>
          <w:shd w:val="clear" w:color="auto" w:fill="FFFFFF"/>
        </w:rPr>
        <w:t>1644</w:t>
      </w:r>
      <w:r w:rsidRPr="00C40FAA">
        <w:rPr>
          <w:rFonts w:asciiTheme="minorHAnsi" w:hAnsiTheme="minorHAnsi" w:cstheme="minorHAnsi"/>
          <w:color w:val="222222"/>
          <w:sz w:val="18"/>
          <w:szCs w:val="18"/>
          <w:shd w:val="clear" w:color="auto" w:fill="FFFFFF"/>
        </w:rPr>
        <w:t>: 83-94.</w:t>
      </w:r>
    </w:p>
    <w:p w14:paraId="19C51C42" w14:textId="77777777" w:rsidR="009F0199" w:rsidRPr="00C40FAA" w:rsidRDefault="009F0199" w:rsidP="009F0199">
      <w:pPr>
        <w:pStyle w:val="ListParagraph"/>
        <w:numPr>
          <w:ilvl w:val="0"/>
          <w:numId w:val="3"/>
        </w:numPr>
        <w:tabs>
          <w:tab w:val="left" w:pos="384"/>
        </w:tabs>
        <w:spacing w:before="103" w:line="216" w:lineRule="exact"/>
        <w:ind w:right="138" w:hanging="283"/>
        <w:rPr>
          <w:rFonts w:ascii="Tw Cen MT" w:hAnsi="Tw Cen MT" w:cstheme="minorHAnsi"/>
          <w:sz w:val="18"/>
          <w:szCs w:val="18"/>
        </w:rPr>
      </w:pPr>
      <w:proofErr w:type="spellStart"/>
      <w:r w:rsidRPr="00C40FAA">
        <w:rPr>
          <w:rFonts w:ascii="Tw Cen MT" w:hAnsi="Tw Cen MT" w:cs="Arial"/>
          <w:color w:val="222222"/>
          <w:sz w:val="18"/>
          <w:szCs w:val="18"/>
          <w:shd w:val="clear" w:color="auto" w:fill="FFFFFF"/>
        </w:rPr>
        <w:t>Ayati</w:t>
      </w:r>
      <w:proofErr w:type="spellEnd"/>
      <w:r w:rsidRPr="00C40FAA">
        <w:rPr>
          <w:rFonts w:ascii="Tw Cen MT" w:hAnsi="Tw Cen MT" w:cs="Arial"/>
          <w:color w:val="222222"/>
          <w:sz w:val="18"/>
          <w:szCs w:val="18"/>
          <w:shd w:val="clear" w:color="auto" w:fill="FFFFFF"/>
        </w:rPr>
        <w:t xml:space="preserve"> A, </w:t>
      </w:r>
      <w:proofErr w:type="spellStart"/>
      <w:r w:rsidRPr="00C40FAA">
        <w:rPr>
          <w:rFonts w:ascii="Tw Cen MT" w:hAnsi="Tw Cen MT" w:cs="Arial"/>
          <w:color w:val="222222"/>
          <w:sz w:val="18"/>
          <w:szCs w:val="18"/>
          <w:shd w:val="clear" w:color="auto" w:fill="FFFFFF"/>
        </w:rPr>
        <w:t>Emami</w:t>
      </w:r>
      <w:proofErr w:type="spellEnd"/>
      <w:r w:rsidRPr="00C40FAA">
        <w:rPr>
          <w:rFonts w:ascii="Tw Cen MT" w:hAnsi="Tw Cen MT" w:cs="Arial"/>
          <w:color w:val="222222"/>
          <w:sz w:val="18"/>
          <w:szCs w:val="18"/>
          <w:shd w:val="clear" w:color="auto" w:fill="FFFFFF"/>
        </w:rPr>
        <w:t xml:space="preserve"> S, </w:t>
      </w:r>
      <w:proofErr w:type="spellStart"/>
      <w:r w:rsidRPr="00C40FAA">
        <w:rPr>
          <w:rFonts w:ascii="Tw Cen MT" w:hAnsi="Tw Cen MT" w:cs="Arial"/>
          <w:color w:val="222222"/>
          <w:sz w:val="18"/>
          <w:szCs w:val="18"/>
          <w:shd w:val="clear" w:color="auto" w:fill="FFFFFF"/>
        </w:rPr>
        <w:t>Asadipour</w:t>
      </w:r>
      <w:proofErr w:type="spellEnd"/>
      <w:r w:rsidRPr="00C40FAA">
        <w:rPr>
          <w:rFonts w:ascii="Tw Cen MT" w:hAnsi="Tw Cen MT" w:cs="Arial"/>
          <w:color w:val="222222"/>
          <w:sz w:val="18"/>
          <w:szCs w:val="18"/>
          <w:shd w:val="clear" w:color="auto" w:fill="FFFFFF"/>
        </w:rPr>
        <w:t xml:space="preserve"> A, </w:t>
      </w:r>
      <w:proofErr w:type="spellStart"/>
      <w:r w:rsidRPr="00C40FAA">
        <w:rPr>
          <w:rFonts w:ascii="Tw Cen MT" w:hAnsi="Tw Cen MT" w:cs="Arial"/>
          <w:color w:val="222222"/>
          <w:sz w:val="18"/>
          <w:szCs w:val="18"/>
          <w:shd w:val="clear" w:color="auto" w:fill="FFFFFF"/>
        </w:rPr>
        <w:t>Shafiee</w:t>
      </w:r>
      <w:proofErr w:type="spellEnd"/>
      <w:r w:rsidRPr="00C40FAA">
        <w:rPr>
          <w:rFonts w:ascii="Tw Cen MT" w:hAnsi="Tw Cen MT" w:cs="Arial"/>
          <w:color w:val="222222"/>
          <w:sz w:val="18"/>
          <w:szCs w:val="18"/>
          <w:shd w:val="clear" w:color="auto" w:fill="FFFFFF"/>
        </w:rPr>
        <w:t xml:space="preserve"> A, </w:t>
      </w:r>
      <w:proofErr w:type="spellStart"/>
      <w:r w:rsidRPr="00C40FAA">
        <w:rPr>
          <w:rFonts w:ascii="Tw Cen MT" w:hAnsi="Tw Cen MT" w:cs="Arial"/>
          <w:color w:val="222222"/>
          <w:sz w:val="18"/>
          <w:szCs w:val="18"/>
          <w:shd w:val="clear" w:color="auto" w:fill="FFFFFF"/>
        </w:rPr>
        <w:t>Foroumadi</w:t>
      </w:r>
      <w:proofErr w:type="spellEnd"/>
      <w:r w:rsidRPr="00C40FAA">
        <w:rPr>
          <w:rFonts w:ascii="Tw Cen MT" w:hAnsi="Tw Cen MT" w:cs="Arial"/>
          <w:color w:val="222222"/>
          <w:sz w:val="18"/>
          <w:szCs w:val="18"/>
          <w:shd w:val="clear" w:color="auto" w:fill="FFFFFF"/>
        </w:rPr>
        <w:t xml:space="preserve"> A, (2015) Recent applications of 1, 3-thiazole core structure in the identification of new lead compounds and drug discovery. </w:t>
      </w:r>
      <w:r w:rsidRPr="00C40FAA">
        <w:rPr>
          <w:rFonts w:ascii="Tw Cen MT" w:hAnsi="Tw Cen MT" w:cs="Arial"/>
          <w:i/>
          <w:iCs/>
          <w:color w:val="222222"/>
          <w:sz w:val="18"/>
          <w:szCs w:val="18"/>
          <w:shd w:val="clear" w:color="auto" w:fill="FFFFFF"/>
        </w:rPr>
        <w:t>European journal of medicinal chemistry</w:t>
      </w:r>
      <w:r w:rsidRPr="00C40FAA">
        <w:rPr>
          <w:rFonts w:ascii="Tw Cen MT" w:hAnsi="Tw Cen MT" w:cs="Arial"/>
          <w:color w:val="222222"/>
          <w:sz w:val="18"/>
          <w:szCs w:val="18"/>
          <w:shd w:val="clear" w:color="auto" w:fill="FFFFFF"/>
        </w:rPr>
        <w:t xml:space="preserve"> </w:t>
      </w:r>
      <w:r w:rsidRPr="00C40FAA">
        <w:rPr>
          <w:rFonts w:ascii="Tw Cen MT" w:hAnsi="Tw Cen MT" w:cs="Arial"/>
          <w:i/>
          <w:iCs/>
          <w:color w:val="222222"/>
          <w:sz w:val="18"/>
          <w:szCs w:val="18"/>
          <w:shd w:val="clear" w:color="auto" w:fill="FFFFFF"/>
        </w:rPr>
        <w:t>97</w:t>
      </w:r>
      <w:r w:rsidRPr="00C40FAA">
        <w:rPr>
          <w:rFonts w:ascii="Tw Cen MT" w:hAnsi="Tw Cen MT" w:cs="Arial"/>
          <w:color w:val="222222"/>
          <w:sz w:val="18"/>
          <w:szCs w:val="18"/>
          <w:shd w:val="clear" w:color="auto" w:fill="FFFFFF"/>
        </w:rPr>
        <w:t>: 699-718.</w:t>
      </w:r>
    </w:p>
    <w:p w14:paraId="76C58184" w14:textId="4F326A45" w:rsidR="005973B9" w:rsidRDefault="005973B9" w:rsidP="008435E0">
      <w:pPr>
        <w:spacing w:line="204" w:lineRule="exact"/>
        <w:rPr>
          <w:rFonts w:ascii="Calibri" w:hAnsi="Calibri"/>
        </w:rPr>
      </w:pPr>
      <w:r>
        <w:rPr>
          <w:rFonts w:ascii="Arial"/>
          <w:b/>
          <w:color w:val="BF5A14"/>
          <w:sz w:val="20"/>
        </w:rPr>
        <w:br/>
      </w:r>
    </w:p>
    <w:p w14:paraId="1206A1B6" w14:textId="77777777" w:rsidR="00AE3E37" w:rsidRPr="008756E6" w:rsidRDefault="00AE3E37" w:rsidP="008756E6">
      <w:pPr>
        <w:tabs>
          <w:tab w:val="left" w:pos="384"/>
        </w:tabs>
        <w:ind w:right="117"/>
      </w:pPr>
    </w:p>
    <w:p w14:paraId="2376873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52E9A2F" w14:textId="5F374BE1" w:rsidR="00AE3E37" w:rsidRDefault="009F0199">
      <w:pPr>
        <w:pStyle w:val="BodyText"/>
        <w:rPr>
          <w:rFonts w:ascii="Calibri"/>
          <w:sz w:val="20"/>
        </w:rPr>
      </w:pPr>
      <w:r w:rsidRPr="008435E0">
        <w:rPr>
          <w:rFonts w:cs="Arial"/>
          <w:b/>
          <w:bCs/>
          <w:shd w:val="clear" w:color="auto" w:fill="FFFFFF"/>
        </w:rPr>
        <w:t>Figure</w:t>
      </w:r>
      <w:r>
        <w:rPr>
          <w:rFonts w:cs="Arial"/>
          <w:shd w:val="clear" w:color="auto" w:fill="FFFFFF"/>
        </w:rPr>
        <w:t xml:space="preserve">: </w:t>
      </w:r>
      <w:r w:rsidRPr="008435E0">
        <w:rPr>
          <w:rFonts w:cs="Arial"/>
          <w:shd w:val="clear" w:color="auto" w:fill="FFFFFF"/>
        </w:rPr>
        <w:t xml:space="preserve">Superposed starting and final conformations of Bcl-2-ligand </w:t>
      </w:r>
      <w:r w:rsidRPr="008435E0">
        <w:rPr>
          <w:rFonts w:cs="Arial"/>
          <w:b/>
          <w:shd w:val="clear" w:color="auto" w:fill="FFFFFF"/>
        </w:rPr>
        <w:t>32</w:t>
      </w:r>
    </w:p>
    <w:p w14:paraId="1FEAD74F" w14:textId="0F52B151" w:rsidR="009F0199" w:rsidRDefault="009F0199">
      <w:pPr>
        <w:pStyle w:val="BodyText"/>
        <w:rPr>
          <w:rFonts w:ascii="Calibri"/>
          <w:sz w:val="20"/>
        </w:rPr>
      </w:pPr>
    </w:p>
    <w:p w14:paraId="72692C11" w14:textId="47CC787E" w:rsidR="009F0199" w:rsidRDefault="009F0199">
      <w:pPr>
        <w:pStyle w:val="BodyText"/>
        <w:rPr>
          <w:rFonts w:ascii="Calibri"/>
          <w:sz w:val="20"/>
        </w:rPr>
      </w:pPr>
    </w:p>
    <w:p w14:paraId="0A375E68" w14:textId="77777777" w:rsidR="009F0199" w:rsidRDefault="009F0199">
      <w:pPr>
        <w:pStyle w:val="BodyText"/>
        <w:rPr>
          <w:rFonts w:ascii="Calibri"/>
          <w:sz w:val="20"/>
        </w:rPr>
      </w:pPr>
    </w:p>
    <w:p w14:paraId="37DDB5F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AE194D9" wp14:editId="5B1807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7824D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F99D995" w14:textId="2B77A4E2" w:rsidR="00AE3E37" w:rsidRDefault="008756E6" w:rsidP="00404E5B">
      <w:pPr>
        <w:spacing w:before="92"/>
        <w:ind w:right="4234"/>
        <w:rPr>
          <w:rFonts w:ascii="Arial"/>
        </w:rPr>
      </w:pPr>
      <w:r>
        <w:rPr>
          <w:noProof/>
        </w:rPr>
        <w:lastRenderedPageBreak/>
        <w:t xml:space="preserve">      </w:t>
      </w:r>
      <w:r w:rsidR="00DF273E">
        <w:rPr>
          <w:noProof/>
        </w:rPr>
        <w:drawing>
          <wp:inline distT="0" distB="0" distL="0" distR="0" wp14:anchorId="328942F1" wp14:editId="510AEECA">
            <wp:extent cx="876615" cy="109576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5953" cy="1107441"/>
                    </a:xfrm>
                    <a:prstGeom prst="rect">
                      <a:avLst/>
                    </a:prstGeom>
                    <a:noFill/>
                    <a:ln>
                      <a:noFill/>
                    </a:ln>
                  </pic:spPr>
                </pic:pic>
              </a:graphicData>
            </a:graphic>
          </wp:inline>
        </w:drawing>
      </w:r>
      <w:r>
        <w:rPr>
          <w:noProof/>
        </w:rPr>
        <w:t xml:space="preserve">        </w:t>
      </w:r>
    </w:p>
    <w:p w14:paraId="37F6FCF6" w14:textId="77602817" w:rsidR="008A520E" w:rsidRPr="008A520E" w:rsidRDefault="008A520E" w:rsidP="008A520E">
      <w:pPr>
        <w:jc w:val="both"/>
        <w:rPr>
          <w:rFonts w:ascii="Arial" w:eastAsia="Times New Roman" w:hAnsi="Arial" w:cs="Arial"/>
          <w:sz w:val="14"/>
          <w:szCs w:val="14"/>
        </w:rPr>
      </w:pPr>
      <w:r w:rsidRPr="008A520E">
        <w:rPr>
          <w:rFonts w:ascii="Arial" w:hAnsi="Arial" w:cs="Arial"/>
          <w:sz w:val="14"/>
          <w:szCs w:val="14"/>
        </w:rPr>
        <w:t xml:space="preserve">Sagarkumar Patel completed his B. Pharm from Ganpat University, Gujarat in 2014 and obtained M. Tech (Pharm) degree from the National Institute of Pharmaceutical Education and Research (NIPER), Mohali (India) under guidance of Dr. </w:t>
      </w:r>
      <w:proofErr w:type="spellStart"/>
      <w:r w:rsidRPr="008A520E">
        <w:rPr>
          <w:rFonts w:ascii="Arial" w:hAnsi="Arial" w:cs="Arial"/>
          <w:sz w:val="14"/>
          <w:szCs w:val="14"/>
        </w:rPr>
        <w:t>Joydev</w:t>
      </w:r>
      <w:proofErr w:type="spellEnd"/>
      <w:r w:rsidRPr="008A520E">
        <w:rPr>
          <w:rFonts w:ascii="Arial" w:hAnsi="Arial" w:cs="Arial"/>
          <w:sz w:val="14"/>
          <w:szCs w:val="14"/>
        </w:rPr>
        <w:t xml:space="preserve"> K </w:t>
      </w:r>
      <w:proofErr w:type="spellStart"/>
      <w:r w:rsidRPr="008A520E">
        <w:rPr>
          <w:rFonts w:ascii="Arial" w:hAnsi="Arial" w:cs="Arial"/>
          <w:sz w:val="14"/>
          <w:szCs w:val="14"/>
        </w:rPr>
        <w:t>Laha</w:t>
      </w:r>
      <w:proofErr w:type="spellEnd"/>
      <w:r w:rsidRPr="008A520E">
        <w:rPr>
          <w:rFonts w:ascii="Arial" w:hAnsi="Arial" w:cs="Arial"/>
          <w:sz w:val="14"/>
          <w:szCs w:val="14"/>
        </w:rPr>
        <w:t xml:space="preserve">, in 2016. Now his pursuing </w:t>
      </w:r>
      <w:r w:rsidR="00DF273E">
        <w:rPr>
          <w:rFonts w:ascii="Arial" w:hAnsi="Arial" w:cs="Arial"/>
          <w:sz w:val="14"/>
          <w:szCs w:val="14"/>
        </w:rPr>
        <w:t>fourth</w:t>
      </w:r>
      <w:r w:rsidRPr="008A520E">
        <w:rPr>
          <w:rFonts w:ascii="Arial" w:hAnsi="Arial" w:cs="Arial"/>
          <w:sz w:val="14"/>
          <w:szCs w:val="14"/>
        </w:rPr>
        <w:t xml:space="preserve"> Year Ph. D in department of Medicinal Chemistry in National Institute of Pharmaceutical Education and Research (NIPER)- Ahmedabad under the guidance of Dr. Amit Shard. Current his research area is designing and synthesis of kinase inhibitors/activators. </w:t>
      </w:r>
      <w:bookmarkStart w:id="0" w:name="_GoBack"/>
      <w:bookmarkEnd w:id="0"/>
    </w:p>
    <w:p w14:paraId="2D1D64F4" w14:textId="4F72547A" w:rsidR="00AE3E37" w:rsidRDefault="008A520E" w:rsidP="008A520E">
      <w:pPr>
        <w:tabs>
          <w:tab w:val="left" w:pos="6660"/>
        </w:tabs>
        <w:spacing w:before="62"/>
        <w:ind w:left="4217" w:right="1960"/>
        <w:rPr>
          <w:rFonts w:ascii="Arial"/>
          <w:sz w:val="14"/>
        </w:rPr>
      </w:pPr>
      <w:r w:rsidRPr="00724C6E">
        <w:rPr>
          <w:rFonts w:ascii="Arial" w:hAnsi="Arial" w:cs="Arial"/>
          <w:sz w:val="14"/>
        </w:rPr>
        <w:t xml:space="preserve"> </w:t>
      </w:r>
      <w:r>
        <w:rPr>
          <w:rFonts w:ascii="Arial" w:hAnsi="Arial" w:cs="Arial"/>
          <w:sz w:val="14"/>
        </w:rPr>
        <w:t>Sagarkumar Patel</w:t>
      </w:r>
      <w:r w:rsidR="00724C6E" w:rsidRPr="00724C6E">
        <w:rPr>
          <w:rStyle w:val="Hyperlink"/>
          <w:rFonts w:ascii="Arial" w:hAnsi="Arial" w:cs="Arial"/>
          <w:sz w:val="6"/>
        </w:rPr>
        <w:br/>
      </w:r>
      <w:r w:rsidR="00724C6E" w:rsidRPr="00724C6E">
        <w:rPr>
          <w:rFonts w:ascii="Arial" w:hAnsi="Arial" w:cs="Arial"/>
          <w:sz w:val="14"/>
        </w:rPr>
        <w:t>Tel:</w:t>
      </w:r>
      <w:r w:rsidR="00724C6E">
        <w:rPr>
          <w:rFonts w:ascii="Arial" w:hAnsi="Arial" w:cs="Arial"/>
          <w:sz w:val="14"/>
        </w:rPr>
        <w:t xml:space="preserve"> </w:t>
      </w:r>
      <w:r>
        <w:rPr>
          <w:rFonts w:ascii="Arial" w:hAnsi="Arial" w:cs="Arial"/>
          <w:sz w:val="14"/>
        </w:rPr>
        <w:t>+918160091972</w:t>
      </w:r>
      <w:r w:rsidR="00724C6E">
        <w:rPr>
          <w:rFonts w:ascii="Arial"/>
          <w:sz w:val="14"/>
        </w:rPr>
        <w:br/>
      </w:r>
      <w:r w:rsidR="00724C6E" w:rsidRPr="00724C6E">
        <w:rPr>
          <w:rFonts w:ascii="Arial"/>
          <w:sz w:val="14"/>
        </w:rPr>
        <w:t>Category</w:t>
      </w:r>
      <w:r w:rsidR="00724C6E">
        <w:rPr>
          <w:rFonts w:ascii="Arial"/>
          <w:sz w:val="14"/>
        </w:rPr>
        <w:t xml:space="preserve">: </w:t>
      </w:r>
      <w:r w:rsidR="00724C6E" w:rsidRPr="00724C6E">
        <w:rPr>
          <w:rFonts w:ascii="Arial"/>
          <w:sz w:val="14"/>
        </w:rPr>
        <w:t>Poster presentation</w:t>
      </w:r>
      <w:r w:rsidR="00724C6E">
        <w:rPr>
          <w:rFonts w:ascii="Arial"/>
          <w:sz w:val="14"/>
        </w:rPr>
        <w:br/>
        <w:t xml:space="preserve">Email: </w:t>
      </w:r>
      <w:r>
        <w:rPr>
          <w:rFonts w:ascii="Arial"/>
          <w:sz w:val="14"/>
        </w:rPr>
        <w:t>sagarpatel6766@gmail.com</w:t>
      </w:r>
    </w:p>
    <w:p w14:paraId="5083CE6F" w14:textId="77777777" w:rsidR="00AE3E37" w:rsidRDefault="00AE3E37">
      <w:pPr>
        <w:pStyle w:val="BodyText"/>
        <w:spacing w:before="7"/>
        <w:rPr>
          <w:rFonts w:ascii="Arial"/>
          <w:sz w:val="29"/>
        </w:rPr>
      </w:pPr>
    </w:p>
    <w:p w14:paraId="10D1C3C2" w14:textId="779A0833" w:rsidR="00AE3E37" w:rsidRPr="008A520E" w:rsidRDefault="00A9710C" w:rsidP="008A520E">
      <w:pPr>
        <w:spacing w:before="39"/>
        <w:ind w:left="100"/>
        <w:rPr>
          <w:rFonts w:ascii="Minion Pro" w:hAnsi="Minion Pro"/>
          <w:sz w:val="20"/>
          <w:szCs w:val="20"/>
        </w:rPr>
        <w:sectPr w:rsidR="00AE3E37" w:rsidRPr="008A520E">
          <w:type w:val="continuous"/>
          <w:pgSz w:w="11910" w:h="16840"/>
          <w:pgMar w:top="1740" w:right="600" w:bottom="840" w:left="620" w:header="720" w:footer="720" w:gutter="0"/>
          <w:cols w:space="720"/>
        </w:sectPr>
      </w:pPr>
      <w:r w:rsidRPr="008A520E">
        <w:rPr>
          <w:rFonts w:ascii="Minion Pro" w:hAnsi="Minion Pro"/>
          <w:b/>
          <w:sz w:val="20"/>
          <w:szCs w:val="20"/>
        </w:rPr>
        <w:t>Notes/Comments:</w:t>
      </w:r>
      <w:r w:rsidR="008A520E" w:rsidRPr="008A520E">
        <w:rPr>
          <w:rFonts w:ascii="Minion Pro" w:hAnsi="Minion Pro"/>
          <w:b/>
          <w:sz w:val="20"/>
          <w:szCs w:val="20"/>
        </w:rPr>
        <w:t xml:space="preserve">  </w:t>
      </w:r>
      <w:r w:rsidR="008A520E" w:rsidRPr="008A520E">
        <w:rPr>
          <w:rFonts w:ascii="Minion Pro" w:hAnsi="Minion Pro" w:cs="Arial"/>
          <w:color w:val="000000"/>
          <w:sz w:val="20"/>
          <w:szCs w:val="20"/>
          <w:shd w:val="clear" w:color="auto" w:fill="FFFFFF"/>
        </w:rPr>
        <w:t xml:space="preserve">This work </w:t>
      </w:r>
      <w:r w:rsidR="008A520E">
        <w:rPr>
          <w:rFonts w:ascii="Minion Pro" w:hAnsi="Minion Pro" w:cs="Arial"/>
          <w:color w:val="000000"/>
          <w:sz w:val="20"/>
          <w:szCs w:val="20"/>
          <w:shd w:val="clear" w:color="auto" w:fill="FFFFFF"/>
        </w:rPr>
        <w:t xml:space="preserve">have been published </w:t>
      </w:r>
      <w:r w:rsidR="008A520E" w:rsidRPr="008A520E">
        <w:rPr>
          <w:rFonts w:ascii="Minion Pro" w:hAnsi="Minion Pro" w:cs="Arial"/>
          <w:color w:val="000000"/>
          <w:sz w:val="20"/>
          <w:szCs w:val="20"/>
          <w:shd w:val="clear" w:color="auto" w:fill="FFFFFF"/>
        </w:rPr>
        <w:t xml:space="preserve">in </w:t>
      </w:r>
      <w:r w:rsidR="008A520E" w:rsidRPr="008A520E">
        <w:rPr>
          <w:rFonts w:ascii="Minion Pro" w:hAnsi="Minion Pro" w:cs="Arial"/>
          <w:color w:val="222222"/>
          <w:sz w:val="20"/>
          <w:szCs w:val="20"/>
          <w:shd w:val="clear" w:color="auto" w:fill="FFFFFF"/>
        </w:rPr>
        <w:t xml:space="preserve">European Journal of Pharmaceutical Sciences </w:t>
      </w:r>
      <w:r w:rsidR="009F0199">
        <w:rPr>
          <w:rFonts w:ascii="Minion Pro" w:hAnsi="Minion Pro" w:cs="Arial"/>
          <w:color w:val="222222"/>
          <w:sz w:val="20"/>
          <w:szCs w:val="20"/>
          <w:shd w:val="clear" w:color="auto" w:fill="FFFFFF"/>
        </w:rPr>
        <w:t>ent</w:t>
      </w:r>
      <w:r w:rsidR="008A520E" w:rsidRPr="008A520E">
        <w:rPr>
          <w:rFonts w:ascii="Minion Pro" w:hAnsi="Minion Pro" w:cs="Arial"/>
          <w:color w:val="222222"/>
          <w:sz w:val="20"/>
          <w:szCs w:val="20"/>
          <w:shd w:val="clear" w:color="auto" w:fill="FFFFFF"/>
        </w:rPr>
        <w:t>itle</w:t>
      </w:r>
      <w:r w:rsidR="009F0199">
        <w:rPr>
          <w:rFonts w:ascii="Minion Pro" w:hAnsi="Minion Pro" w:cs="Arial"/>
          <w:color w:val="222222"/>
          <w:sz w:val="20"/>
          <w:szCs w:val="20"/>
          <w:shd w:val="clear" w:color="auto" w:fill="FFFFFF"/>
        </w:rPr>
        <w:t xml:space="preserve"> as</w:t>
      </w:r>
      <w:r w:rsidR="008A520E" w:rsidRPr="008A520E">
        <w:rPr>
          <w:rFonts w:ascii="Minion Pro" w:hAnsi="Minion Pro" w:cs="Arial"/>
          <w:color w:val="222222"/>
          <w:sz w:val="20"/>
          <w:szCs w:val="20"/>
          <w:shd w:val="clear" w:color="auto" w:fill="FFFFFF"/>
        </w:rPr>
        <w:t> Design, Computational Validation, Synthesis and Biological Evaluation of Thiazole based Molecules as Anticancer Agents</w:t>
      </w:r>
    </w:p>
    <w:p w14:paraId="5A4F944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3FDE1" w14:textId="77777777" w:rsidR="00D5104D" w:rsidRDefault="00D5104D">
      <w:r>
        <w:separator/>
      </w:r>
    </w:p>
  </w:endnote>
  <w:endnote w:type="continuationSeparator" w:id="0">
    <w:p w14:paraId="3E133FAE" w14:textId="77777777" w:rsidR="00D5104D" w:rsidRDefault="00D51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1ef757c0">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7B39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B081A16" wp14:editId="00DDA61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A37F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A28EA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081A1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8DA37F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6A28EA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38BF8E" wp14:editId="66197B3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1A83D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3FD32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8BF8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71A83D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3FD32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A9896A3" wp14:editId="4AD7EB1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D829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F6999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896A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C2D829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F6999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35D34" w14:textId="77777777" w:rsidR="00D5104D" w:rsidRDefault="00D5104D">
      <w:r>
        <w:separator/>
      </w:r>
    </w:p>
  </w:footnote>
  <w:footnote w:type="continuationSeparator" w:id="0">
    <w:p w14:paraId="2914ABA3" w14:textId="77777777" w:rsidR="00D5104D" w:rsidRDefault="00D51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1017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1D9879B" wp14:editId="01341BE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3BA2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D9879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863BA2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7202C0A" wp14:editId="3846466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695C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FC80C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2C0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A9695C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FC80C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CInMTY0sLCwNzU2NDYyUdpeDU4uLM/DyQAuNaADkQ5OQsAAAA"/>
  </w:docVars>
  <w:rsids>
    <w:rsidRoot w:val="00AE3E37"/>
    <w:rsid w:val="000E2911"/>
    <w:rsid w:val="001263DF"/>
    <w:rsid w:val="001B0D9C"/>
    <w:rsid w:val="001E0109"/>
    <w:rsid w:val="00292ED9"/>
    <w:rsid w:val="002F5541"/>
    <w:rsid w:val="00342F15"/>
    <w:rsid w:val="00404E5B"/>
    <w:rsid w:val="00410727"/>
    <w:rsid w:val="00414F7B"/>
    <w:rsid w:val="004355DC"/>
    <w:rsid w:val="004749B4"/>
    <w:rsid w:val="00494130"/>
    <w:rsid w:val="004F3523"/>
    <w:rsid w:val="00520172"/>
    <w:rsid w:val="00595B28"/>
    <w:rsid w:val="005973B9"/>
    <w:rsid w:val="005B3A56"/>
    <w:rsid w:val="006060CE"/>
    <w:rsid w:val="0063497F"/>
    <w:rsid w:val="00655A4E"/>
    <w:rsid w:val="007220B7"/>
    <w:rsid w:val="00724C6E"/>
    <w:rsid w:val="007D3206"/>
    <w:rsid w:val="008435E0"/>
    <w:rsid w:val="00873DF0"/>
    <w:rsid w:val="008756E6"/>
    <w:rsid w:val="008A520E"/>
    <w:rsid w:val="00932031"/>
    <w:rsid w:val="009B2D44"/>
    <w:rsid w:val="009F0199"/>
    <w:rsid w:val="00A07E82"/>
    <w:rsid w:val="00A9710C"/>
    <w:rsid w:val="00AE3E37"/>
    <w:rsid w:val="00B1127C"/>
    <w:rsid w:val="00B21A57"/>
    <w:rsid w:val="00C33602"/>
    <w:rsid w:val="00C40FAA"/>
    <w:rsid w:val="00CA1F6B"/>
    <w:rsid w:val="00CD6F55"/>
    <w:rsid w:val="00D307F1"/>
    <w:rsid w:val="00D5104D"/>
    <w:rsid w:val="00DE3104"/>
    <w:rsid w:val="00DF0B8F"/>
    <w:rsid w:val="00DF273E"/>
    <w:rsid w:val="00E404DC"/>
    <w:rsid w:val="00F04A63"/>
    <w:rsid w:val="00F72EEA"/>
    <w:rsid w:val="00F7670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811F3"/>
  <w15:docId w15:val="{72FF788F-C2FE-4762-B01E-A1E7C8E2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7D3206"/>
    <w:pPr>
      <w:widowControl/>
      <w:spacing w:after="200"/>
      <w:jc w:val="both"/>
    </w:pPr>
    <w:rPr>
      <w:rFonts w:ascii="Calibri" w:eastAsia="Calibri" w:hAnsi="Calibri" w:cs="Times New Roman"/>
      <w:noProof/>
    </w:rPr>
  </w:style>
  <w:style w:type="character" w:customStyle="1" w:styleId="EndNoteBibliographyChar">
    <w:name w:val="EndNote Bibliography Char"/>
    <w:link w:val="EndNoteBibliography"/>
    <w:rsid w:val="007D3206"/>
    <w:rPr>
      <w:rFonts w:ascii="Calibri" w:eastAsia="Calibri" w:hAnsi="Calibri" w:cs="Times New Roman"/>
      <w:noProof/>
    </w:rPr>
  </w:style>
  <w:style w:type="character" w:styleId="SubtleEmphasis">
    <w:name w:val="Subtle Emphasis"/>
    <w:uiPriority w:val="19"/>
    <w:qFormat/>
    <w:rsid w:val="00F04A63"/>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1202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2</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sagar</cp:lastModifiedBy>
  <cp:revision>8</cp:revision>
  <dcterms:created xsi:type="dcterms:W3CDTF">2019-09-18T10:01:00Z</dcterms:created>
  <dcterms:modified xsi:type="dcterms:W3CDTF">2019-09-26T09:34:00Z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