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52" w:rsidRPr="003C4B52" w:rsidRDefault="003C4B52" w:rsidP="003C4B52">
      <w:pPr>
        <w:pStyle w:val="1"/>
        <w:spacing w:before="170"/>
        <w:ind w:left="0"/>
        <w:rPr>
          <w:color w:val="337AB7"/>
        </w:rPr>
      </w:pPr>
      <w:r w:rsidRPr="003C4B52">
        <w:rPr>
          <w:color w:val="337AB7"/>
        </w:rPr>
        <w:t xml:space="preserve">Protamine/Carboxymethyl dextran based </w:t>
      </w:r>
      <w:r w:rsidRPr="003C4B52">
        <w:rPr>
          <w:rFonts w:hint="eastAsia"/>
          <w:color w:val="337AB7"/>
        </w:rPr>
        <w:t>n</w:t>
      </w:r>
      <w:r w:rsidRPr="003C4B52">
        <w:rPr>
          <w:color w:val="337AB7"/>
        </w:rPr>
        <w:t>ano</w:t>
      </w:r>
      <w:r w:rsidRPr="003C4B52">
        <w:rPr>
          <w:rFonts w:hint="eastAsia"/>
          <w:color w:val="337AB7"/>
        </w:rPr>
        <w:t>adjuvant</w:t>
      </w:r>
      <w:r w:rsidRPr="003C4B52">
        <w:rPr>
          <w:color w:val="337AB7"/>
        </w:rPr>
        <w:t xml:space="preserve"> for </w:t>
      </w:r>
      <w:r w:rsidRPr="003C4B52">
        <w:rPr>
          <w:rFonts w:hint="eastAsia"/>
          <w:color w:val="337AB7"/>
        </w:rPr>
        <w:t>co-d</w:t>
      </w:r>
      <w:r w:rsidRPr="003C4B52">
        <w:rPr>
          <w:color w:val="337AB7"/>
        </w:rPr>
        <w:t xml:space="preserve">elivery CpG </w:t>
      </w:r>
      <w:r w:rsidRPr="003C4B52">
        <w:rPr>
          <w:rFonts w:hint="eastAsia"/>
          <w:color w:val="337AB7"/>
        </w:rPr>
        <w:t>o</w:t>
      </w:r>
      <w:r w:rsidRPr="003C4B52">
        <w:rPr>
          <w:color w:val="337AB7"/>
        </w:rPr>
        <w:t>ligonucleotides and EV71</w:t>
      </w:r>
      <w:r w:rsidRPr="003C4B52">
        <w:rPr>
          <w:rFonts w:hint="eastAsia"/>
          <w:color w:val="337AB7"/>
        </w:rPr>
        <w:t xml:space="preserve"> inactivated v</w:t>
      </w:r>
      <w:r w:rsidRPr="003C4B52">
        <w:rPr>
          <w:color w:val="337AB7"/>
        </w:rPr>
        <w:t xml:space="preserve">accine against </w:t>
      </w:r>
      <w:r w:rsidRPr="003C4B52">
        <w:rPr>
          <w:rFonts w:hint="eastAsia"/>
          <w:color w:val="337AB7"/>
        </w:rPr>
        <w:t>h</w:t>
      </w:r>
      <w:r w:rsidRPr="003C4B52">
        <w:rPr>
          <w:color w:val="337AB7"/>
        </w:rPr>
        <w:t xml:space="preserve">and, </w:t>
      </w:r>
      <w:r w:rsidRPr="003C4B52">
        <w:rPr>
          <w:rFonts w:hint="eastAsia"/>
          <w:color w:val="337AB7"/>
        </w:rPr>
        <w:t>f</w:t>
      </w:r>
      <w:r w:rsidRPr="003C4B52">
        <w:rPr>
          <w:color w:val="337AB7"/>
        </w:rPr>
        <w:t xml:space="preserve">oot and </w:t>
      </w:r>
      <w:r w:rsidRPr="003C4B52">
        <w:rPr>
          <w:rFonts w:hint="eastAsia"/>
          <w:color w:val="337AB7"/>
        </w:rPr>
        <w:t>m</w:t>
      </w:r>
      <w:r w:rsidRPr="003C4B52">
        <w:rPr>
          <w:color w:val="337AB7"/>
        </w:rPr>
        <w:t xml:space="preserve">outh </w:t>
      </w:r>
      <w:r w:rsidRPr="003C4B52">
        <w:rPr>
          <w:rFonts w:hint="eastAsia"/>
          <w:color w:val="337AB7"/>
        </w:rPr>
        <w:t>d</w:t>
      </w:r>
      <w:r w:rsidRPr="003C4B52">
        <w:rPr>
          <w:color w:val="337AB7"/>
        </w:rPr>
        <w:t>isease</w:t>
      </w:r>
    </w:p>
    <w:p w:rsidR="003C4B52" w:rsidRPr="006E1C30" w:rsidRDefault="003C4B52" w:rsidP="00943B32">
      <w:pPr>
        <w:pStyle w:val="a3"/>
        <w:adjustRightInd w:val="0"/>
        <w:snapToGrid w:val="0"/>
        <w:spacing w:before="73" w:line="198" w:lineRule="exact"/>
        <w:ind w:left="102" w:right="102"/>
        <w:rPr>
          <w:rFonts w:ascii="Arial" w:eastAsiaTheme="minorEastAsia"/>
          <w:lang w:eastAsia="zh-CN"/>
        </w:rPr>
      </w:pPr>
      <w:r w:rsidRPr="009C1D13">
        <w:rPr>
          <w:rFonts w:ascii="Arial"/>
        </w:rPr>
        <w:t xml:space="preserve">Hao </w:t>
      </w:r>
      <w:r w:rsidRPr="009C1D13">
        <w:rPr>
          <w:rFonts w:ascii="Arial" w:hint="eastAsia"/>
        </w:rPr>
        <w:t>L</w:t>
      </w:r>
      <w:r w:rsidR="006E1C30">
        <w:rPr>
          <w:rFonts w:ascii="Arial"/>
        </w:rPr>
        <w:t>iang</w:t>
      </w:r>
      <w:r w:rsidR="006E1C30">
        <w:rPr>
          <w:rFonts w:ascii="Arial" w:eastAsiaTheme="minorEastAsia" w:hint="eastAsia"/>
          <w:lang w:eastAsia="zh-CN"/>
        </w:rPr>
        <w:t xml:space="preserve">, </w:t>
      </w:r>
      <w:r w:rsidRPr="009C1D13">
        <w:rPr>
          <w:rFonts w:ascii="Arial"/>
        </w:rPr>
        <w:t>College of Life Science and Bioengineering, Beijing University of Technology, PR China</w:t>
      </w:r>
    </w:p>
    <w:p w:rsidR="00AE3E37" w:rsidRPr="00250B4F" w:rsidRDefault="00AE3E37" w:rsidP="00250B4F">
      <w:pPr>
        <w:pStyle w:val="a3"/>
        <w:adjustRightInd w:val="0"/>
        <w:snapToGrid w:val="0"/>
        <w:spacing w:before="73" w:line="198" w:lineRule="exact"/>
        <w:ind w:left="102" w:right="885"/>
        <w:rPr>
          <w:rFonts w:ascii="Arial"/>
        </w:rPr>
        <w:sectPr w:rsidR="00AE3E37" w:rsidRPr="00250B4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3C4B52">
      <w:pPr>
        <w:pStyle w:val="a3"/>
        <w:spacing w:before="90" w:line="280" w:lineRule="auto"/>
        <w:ind w:left="100"/>
        <w:jc w:val="both"/>
      </w:pPr>
      <w:r w:rsidRPr="003C4B52">
        <w:rPr>
          <w:rFonts w:hint="eastAsia"/>
        </w:rPr>
        <w:t xml:space="preserve">Enterovirus 71 (EV71) is a major </w:t>
      </w:r>
      <w:r w:rsidRPr="003C4B52">
        <w:t>causative</w:t>
      </w:r>
      <w:r w:rsidRPr="003C4B52">
        <w:rPr>
          <w:rFonts w:hint="eastAsia"/>
        </w:rPr>
        <w:t xml:space="preserve"> pathogen of </w:t>
      </w:r>
      <w:r w:rsidRPr="003C4B52">
        <w:t>hand, foot, and mouth</w:t>
      </w:r>
      <w:r w:rsidRPr="003C4B52">
        <w:rPr>
          <w:rFonts w:hint="eastAsia"/>
        </w:rPr>
        <w:t xml:space="preserve"> </w:t>
      </w:r>
      <w:r w:rsidRPr="003C4B52">
        <w:t>disease (HFMD)</w:t>
      </w:r>
      <w:r w:rsidRPr="003C4B52">
        <w:rPr>
          <w:rFonts w:hint="eastAsia"/>
        </w:rPr>
        <w:t xml:space="preserve"> in young children. </w:t>
      </w:r>
      <w:r w:rsidRPr="003C4B52">
        <w:t>HFMD in</w:t>
      </w:r>
      <w:r w:rsidRPr="003C4B52">
        <w:rPr>
          <w:rFonts w:hint="eastAsia"/>
        </w:rPr>
        <w:t>duced by</w:t>
      </w:r>
      <w:r w:rsidRPr="003C4B52">
        <w:t xml:space="preserve"> </w:t>
      </w:r>
      <w:r w:rsidRPr="003C4B52">
        <w:rPr>
          <w:rFonts w:hint="eastAsia"/>
        </w:rPr>
        <w:t>EV</w:t>
      </w:r>
      <w:r w:rsidRPr="003C4B52">
        <w:t>71</w:t>
      </w:r>
      <w:r w:rsidRPr="003C4B52">
        <w:rPr>
          <w:rFonts w:hint="eastAsia"/>
        </w:rPr>
        <w:t xml:space="preserve"> </w:t>
      </w:r>
      <w:r w:rsidRPr="003C4B52">
        <w:t>can cause a high rate</w:t>
      </w:r>
      <w:r w:rsidRPr="003C4B52">
        <w:rPr>
          <w:rFonts w:hint="eastAsia"/>
        </w:rPr>
        <w:t xml:space="preserve"> </w:t>
      </w:r>
      <w:r w:rsidRPr="003C4B52">
        <w:t>of neurologic complications</w:t>
      </w:r>
      <w:r w:rsidRPr="003C4B52">
        <w:rPr>
          <w:rFonts w:hint="eastAsia"/>
        </w:rPr>
        <w:t xml:space="preserve"> and even death. Although there are three </w:t>
      </w:r>
      <w:r w:rsidRPr="003C4B52">
        <w:t>inactivated</w:t>
      </w:r>
      <w:r w:rsidRPr="003C4B52">
        <w:rPr>
          <w:rFonts w:hint="eastAsia"/>
        </w:rPr>
        <w:t xml:space="preserve"> </w:t>
      </w:r>
      <w:r w:rsidRPr="003C4B52">
        <w:t>EV71 vaccines were approved</w:t>
      </w:r>
      <w:r w:rsidRPr="003C4B52">
        <w:rPr>
          <w:rFonts w:hint="eastAsia"/>
        </w:rPr>
        <w:t xml:space="preserve"> in China, the </w:t>
      </w:r>
      <w:r w:rsidRPr="003C4B52">
        <w:t>adjuvants</w:t>
      </w:r>
      <w:r w:rsidRPr="003C4B52">
        <w:rPr>
          <w:rFonts w:hint="eastAsia"/>
        </w:rPr>
        <w:t xml:space="preserve"> used with EV71 vaccine</w:t>
      </w:r>
      <w:r w:rsidR="002F79D6">
        <w:rPr>
          <w:rFonts w:eastAsiaTheme="minorEastAsia" w:hint="eastAsia"/>
          <w:lang w:eastAsia="zh-CN"/>
        </w:rPr>
        <w:t>s</w:t>
      </w:r>
      <w:r w:rsidRPr="003C4B52">
        <w:rPr>
          <w:rFonts w:hint="eastAsia"/>
        </w:rPr>
        <w:t xml:space="preserve"> </w:t>
      </w:r>
      <w:r w:rsidR="003F0162">
        <w:rPr>
          <w:rFonts w:eastAsiaTheme="minorEastAsia" w:hint="eastAsia"/>
          <w:lang w:eastAsia="zh-CN"/>
        </w:rPr>
        <w:t xml:space="preserve">have many defects and </w:t>
      </w:r>
      <w:r w:rsidRPr="003C4B52">
        <w:rPr>
          <w:rFonts w:hint="eastAsia"/>
        </w:rPr>
        <w:t xml:space="preserve">need to be improved. In this study, we </w:t>
      </w:r>
      <w:r w:rsidRPr="003C4B52">
        <w:t>generated</w:t>
      </w:r>
      <w:r w:rsidRPr="003C4B52">
        <w:rPr>
          <w:rFonts w:hint="eastAsia"/>
        </w:rPr>
        <w:t xml:space="preserve"> </w:t>
      </w:r>
      <w:r w:rsidR="002F79D6">
        <w:rPr>
          <w:rFonts w:eastAsiaTheme="minorEastAsia" w:hint="eastAsia"/>
          <w:lang w:eastAsia="zh-CN"/>
        </w:rPr>
        <w:t xml:space="preserve">a </w:t>
      </w:r>
      <w:r w:rsidRPr="003C4B52">
        <w:rPr>
          <w:rFonts w:hint="eastAsia"/>
        </w:rPr>
        <w:t>novel p</w:t>
      </w:r>
      <w:r w:rsidRPr="003C4B52">
        <w:t xml:space="preserve">rotamine/Carboxymethyl dextran based </w:t>
      </w:r>
      <w:r w:rsidRPr="003C4B52">
        <w:rPr>
          <w:rFonts w:hint="eastAsia"/>
        </w:rPr>
        <w:t>n</w:t>
      </w:r>
      <w:r w:rsidRPr="003C4B52">
        <w:t>ano</w:t>
      </w:r>
      <w:r w:rsidRPr="003C4B52">
        <w:rPr>
          <w:rFonts w:hint="eastAsia"/>
        </w:rPr>
        <w:t>adjuvant</w:t>
      </w:r>
      <w:r w:rsidRPr="003C4B52">
        <w:t xml:space="preserve"> for CpG </w:t>
      </w:r>
      <w:r w:rsidRPr="003C4B52">
        <w:rPr>
          <w:rFonts w:hint="eastAsia"/>
        </w:rPr>
        <w:t>o</w:t>
      </w:r>
      <w:r w:rsidRPr="003C4B52">
        <w:t>ligonucleotides</w:t>
      </w:r>
      <w:r w:rsidRPr="003C4B52">
        <w:rPr>
          <w:rFonts w:hint="eastAsia"/>
        </w:rPr>
        <w:t xml:space="preserve"> (ODNs)</w:t>
      </w:r>
      <w:r w:rsidRPr="003C4B52">
        <w:t xml:space="preserve"> and EV71 </w:t>
      </w:r>
      <w:r w:rsidRPr="003C4B52">
        <w:rPr>
          <w:rFonts w:hint="eastAsia"/>
        </w:rPr>
        <w:t>inactivated v</w:t>
      </w:r>
      <w:r w:rsidRPr="003C4B52">
        <w:t xml:space="preserve">accine </w:t>
      </w:r>
      <w:r w:rsidRPr="003C4B52">
        <w:rPr>
          <w:rFonts w:hint="eastAsia"/>
        </w:rPr>
        <w:t>co-d</w:t>
      </w:r>
      <w:r w:rsidRPr="003C4B52">
        <w:t>elivery</w:t>
      </w:r>
      <w:r w:rsidRPr="003C4B52">
        <w:rPr>
          <w:rFonts w:hint="eastAsia"/>
        </w:rPr>
        <w:t>.</w:t>
      </w:r>
      <w:r w:rsidRPr="003C4B52">
        <w:t xml:space="preserve"> Th</w:t>
      </w:r>
      <w:r w:rsidR="00735193">
        <w:rPr>
          <w:rFonts w:eastAsiaTheme="minorEastAsia" w:hint="eastAsia"/>
          <w:lang w:eastAsia="zh-CN"/>
        </w:rPr>
        <w:t>e</w:t>
      </w:r>
      <w:r w:rsidRPr="003C4B52">
        <w:t xml:space="preserve"> </w:t>
      </w:r>
      <w:r w:rsidR="00277AF9">
        <w:rPr>
          <w:rFonts w:eastAsiaTheme="minorEastAsia" w:hint="eastAsia"/>
          <w:lang w:eastAsia="zh-CN"/>
        </w:rPr>
        <w:t>new</w:t>
      </w:r>
      <w:r w:rsidRPr="003C4B52">
        <w:rPr>
          <w:rFonts w:hint="eastAsia"/>
        </w:rPr>
        <w:t xml:space="preserve"> nano</w:t>
      </w:r>
      <w:r w:rsidRPr="003C4B52">
        <w:t>vaccine w</w:t>
      </w:r>
      <w:r w:rsidR="00E65612">
        <w:rPr>
          <w:rFonts w:eastAsiaTheme="minorEastAsia" w:hint="eastAsia"/>
          <w:lang w:eastAsia="zh-CN"/>
        </w:rPr>
        <w:t>as</w:t>
      </w:r>
      <w:r w:rsidRPr="003C4B52">
        <w:t xml:space="preserve"> </w:t>
      </w:r>
      <w:r w:rsidRPr="003C4B52">
        <w:rPr>
          <w:rFonts w:hint="eastAsia"/>
        </w:rPr>
        <w:t>administrated</w:t>
      </w:r>
      <w:r w:rsidRPr="003C4B52">
        <w:t xml:space="preserve"> in</w:t>
      </w:r>
      <w:r w:rsidRPr="003C4B52">
        <w:rPr>
          <w:rFonts w:hint="eastAsia"/>
        </w:rPr>
        <w:t xml:space="preserve"> </w:t>
      </w:r>
      <w:r w:rsidRPr="003C4B52">
        <w:t>mice to</w:t>
      </w:r>
      <w:r w:rsidRPr="003C4B52">
        <w:rPr>
          <w:rFonts w:hint="eastAsia"/>
        </w:rPr>
        <w:t xml:space="preserve"> evaluate its </w:t>
      </w:r>
      <w:r w:rsidRPr="003C4B52">
        <w:t>immune activity</w:t>
      </w:r>
      <w:r w:rsidRPr="003C4B52">
        <w:rPr>
          <w:rFonts w:hint="eastAsia"/>
        </w:rPr>
        <w:t xml:space="preserve">. </w:t>
      </w:r>
      <w:r w:rsidR="00E65612">
        <w:rPr>
          <w:rFonts w:eastAsiaTheme="minorEastAsia" w:hint="eastAsia"/>
          <w:lang w:eastAsia="zh-CN"/>
        </w:rPr>
        <w:t>Results showed that it can</w:t>
      </w:r>
      <w:r w:rsidR="002F79D6">
        <w:rPr>
          <w:rFonts w:eastAsiaTheme="minorEastAsia" w:hint="eastAsia"/>
          <w:lang w:eastAsia="zh-CN"/>
        </w:rPr>
        <w:t xml:space="preserve"> </w:t>
      </w:r>
      <w:r w:rsidR="00277AF9" w:rsidRPr="003C4B52">
        <w:t>induced</w:t>
      </w:r>
      <w:r w:rsidR="00277AF9" w:rsidRPr="00277AF9">
        <w:rPr>
          <w:rFonts w:hint="eastAsia"/>
        </w:rPr>
        <w:t xml:space="preserve"> </w:t>
      </w:r>
      <w:r w:rsidR="00277AF9" w:rsidRPr="003C4B52">
        <w:rPr>
          <w:rFonts w:hint="eastAsia"/>
        </w:rPr>
        <w:t>high level</w:t>
      </w:r>
      <w:r w:rsidR="002F79D6">
        <w:rPr>
          <w:rFonts w:eastAsiaTheme="minorEastAsia" w:hint="eastAsia"/>
          <w:lang w:eastAsia="zh-CN"/>
        </w:rPr>
        <w:t xml:space="preserve"> </w:t>
      </w:r>
      <w:r w:rsidRPr="003C4B52">
        <w:t xml:space="preserve">EV71-specific neutralizing antibodies </w:t>
      </w:r>
      <w:r w:rsidR="003F0162" w:rsidRPr="003F0162">
        <w:t>toward Th1</w:t>
      </w:r>
      <w:r w:rsidR="002F79D6">
        <w:rPr>
          <w:rFonts w:eastAsiaTheme="minorEastAsia" w:hint="eastAsia"/>
          <w:lang w:eastAsia="zh-CN"/>
        </w:rPr>
        <w:t>-bias</w:t>
      </w:r>
      <w:r w:rsidR="003F0162" w:rsidRPr="003F0162">
        <w:t xml:space="preserve"> response</w:t>
      </w:r>
      <w:r w:rsidRPr="003C4B52">
        <w:t>.</w:t>
      </w:r>
      <w:r w:rsidRPr="003C4B52">
        <w:rPr>
          <w:rFonts w:hint="eastAsia"/>
        </w:rPr>
        <w:t xml:space="preserve"> The specific antibodies from m</w:t>
      </w:r>
      <w:r w:rsidRPr="003C4B52">
        <w:t>ice administered</w:t>
      </w:r>
      <w:r w:rsidRPr="003C4B52">
        <w:rPr>
          <w:rFonts w:hint="eastAsia"/>
        </w:rPr>
        <w:t xml:space="preserve"> nano</w:t>
      </w:r>
      <w:r w:rsidRPr="003C4B52">
        <w:t>vaccine</w:t>
      </w:r>
      <w:r w:rsidRPr="003C4B52">
        <w:rPr>
          <w:rFonts w:hint="eastAsia"/>
        </w:rPr>
        <w:t xml:space="preserve"> shown stronger neutralization activity in vitro and in vivo than any other groups with nanoadjuvant or CpG ODNs alone. </w:t>
      </w:r>
      <w:r w:rsidR="009C1D13">
        <w:rPr>
          <w:rFonts w:eastAsiaTheme="minorEastAsia" w:hint="eastAsia"/>
          <w:lang w:eastAsia="zh-CN"/>
        </w:rPr>
        <w:t xml:space="preserve">The </w:t>
      </w:r>
      <w:r w:rsidRPr="003C4B52">
        <w:t>CpG</w:t>
      </w:r>
      <w:r w:rsidRPr="003C4B52">
        <w:rPr>
          <w:rFonts w:hint="eastAsia"/>
        </w:rPr>
        <w:t>-1826</w:t>
      </w:r>
      <w:r w:rsidR="003F0162">
        <w:rPr>
          <w:rFonts w:eastAsiaTheme="minorEastAsia" w:hint="eastAsia"/>
          <w:lang w:eastAsia="zh-CN"/>
        </w:rPr>
        <w:t>，</w:t>
      </w:r>
      <w:r w:rsidR="003F0162">
        <w:rPr>
          <w:rFonts w:eastAsiaTheme="minorEastAsia" w:hint="eastAsia"/>
          <w:lang w:eastAsia="zh-CN"/>
        </w:rPr>
        <w:t>a B</w:t>
      </w:r>
      <w:r w:rsidR="003F0162" w:rsidRPr="003C4B52">
        <w:t>-type</w:t>
      </w:r>
      <w:r w:rsidR="003F0162">
        <w:rPr>
          <w:rFonts w:eastAsiaTheme="minorEastAsia" w:hint="eastAsia"/>
          <w:lang w:eastAsia="zh-CN"/>
        </w:rPr>
        <w:t xml:space="preserve"> CPG ODNs, </w:t>
      </w:r>
      <w:r w:rsidR="00277AF9">
        <w:rPr>
          <w:rFonts w:eastAsiaTheme="minorEastAsia" w:hint="eastAsia"/>
          <w:lang w:eastAsia="zh-CN"/>
        </w:rPr>
        <w:t xml:space="preserve">were </w:t>
      </w:r>
      <w:r w:rsidRPr="003C4B52">
        <w:rPr>
          <w:rFonts w:hint="eastAsia"/>
        </w:rPr>
        <w:t xml:space="preserve">loaded </w:t>
      </w:r>
      <w:r w:rsidR="00277AF9">
        <w:rPr>
          <w:rFonts w:eastAsiaTheme="minorEastAsia" w:hint="eastAsia"/>
          <w:lang w:eastAsia="zh-CN"/>
        </w:rPr>
        <w:t xml:space="preserve">in the </w:t>
      </w:r>
      <w:r w:rsidRPr="003C4B52">
        <w:rPr>
          <w:rFonts w:hint="eastAsia"/>
        </w:rPr>
        <w:t xml:space="preserve">nanoadjuvant </w:t>
      </w:r>
      <w:r w:rsidR="00E65612">
        <w:rPr>
          <w:rFonts w:eastAsiaTheme="minorEastAsia" w:hint="eastAsia"/>
          <w:lang w:eastAsia="zh-CN"/>
        </w:rPr>
        <w:t xml:space="preserve">and </w:t>
      </w:r>
      <w:r w:rsidRPr="003C4B52">
        <w:t>stimulate</w:t>
      </w:r>
      <w:r w:rsidRPr="003C4B52">
        <w:rPr>
          <w:rFonts w:hint="eastAsia"/>
        </w:rPr>
        <w:t xml:space="preserve">d immune cells to secrete a great deal of both </w:t>
      </w:r>
      <w:r w:rsidRPr="003C4B52">
        <w:t>IFN-</w:t>
      </w:r>
      <w:r w:rsidR="003F0162" w:rsidRPr="003F0162">
        <w:rPr>
          <w:rFonts w:hint="eastAsia"/>
        </w:rPr>
        <w:t>α</w:t>
      </w:r>
      <w:r w:rsidRPr="003C4B52">
        <w:rPr>
          <w:rFonts w:hint="eastAsia"/>
        </w:rPr>
        <w:t xml:space="preserve"> and </w:t>
      </w:r>
      <w:r w:rsidRPr="003C4B52">
        <w:t>IFN-</w:t>
      </w:r>
      <w:r w:rsidR="003F0162" w:rsidRPr="003F0162">
        <w:rPr>
          <w:rFonts w:hint="eastAsia"/>
        </w:rPr>
        <w:t>γ</w:t>
      </w:r>
      <w:r w:rsidR="00E65612">
        <w:rPr>
          <w:rFonts w:eastAsiaTheme="minorEastAsia" w:hint="eastAsia"/>
          <w:lang w:eastAsia="zh-CN"/>
        </w:rPr>
        <w:t xml:space="preserve"> in vivo.</w:t>
      </w:r>
      <w:r w:rsidRPr="003C4B52">
        <w:rPr>
          <w:rFonts w:hint="eastAsia"/>
        </w:rPr>
        <w:t xml:space="preserve"> This results demonstrated that nanoadjuvant endow </w:t>
      </w:r>
      <w:r w:rsidRPr="003C4B52">
        <w:t>CpG</w:t>
      </w:r>
      <w:r w:rsidRPr="003C4B52">
        <w:rPr>
          <w:rFonts w:hint="eastAsia"/>
        </w:rPr>
        <w:t>-1826 with A-type</w:t>
      </w:r>
      <w:r w:rsidRPr="003C4B52">
        <w:t xml:space="preserve"> CpG </w:t>
      </w:r>
      <w:r w:rsidRPr="003C4B52">
        <w:rPr>
          <w:rFonts w:hint="eastAsia"/>
        </w:rPr>
        <w:t xml:space="preserve">ability </w:t>
      </w:r>
      <w:r w:rsidR="00277AF9">
        <w:rPr>
          <w:rFonts w:eastAsiaTheme="minorEastAsia" w:hint="eastAsia"/>
          <w:lang w:eastAsia="zh-CN"/>
        </w:rPr>
        <w:t xml:space="preserve">to secreting type I IFN </w:t>
      </w:r>
      <w:r w:rsidRPr="003C4B52">
        <w:t xml:space="preserve">without losing its </w:t>
      </w:r>
      <w:r w:rsidRPr="003C4B52">
        <w:rPr>
          <w:rFonts w:hint="eastAsia"/>
        </w:rPr>
        <w:t>B</w:t>
      </w:r>
      <w:r w:rsidRPr="003C4B52">
        <w:t>-type activity</w:t>
      </w:r>
      <w:r w:rsidR="00277AF9">
        <w:rPr>
          <w:rFonts w:eastAsiaTheme="minorEastAsia" w:hint="eastAsia"/>
          <w:lang w:eastAsia="zh-CN"/>
        </w:rPr>
        <w:t xml:space="preserve"> to enhance immune respones</w:t>
      </w:r>
      <w:r w:rsidRPr="003C4B52">
        <w:t>. Taken together,</w:t>
      </w:r>
      <w:r w:rsidRPr="003C4B52">
        <w:rPr>
          <w:rFonts w:hint="eastAsia"/>
        </w:rPr>
        <w:t xml:space="preserve"> the novel nanovaccine can be a potential candidate for </w:t>
      </w:r>
      <w:r w:rsidRPr="003C4B52">
        <w:t xml:space="preserve">medically necessary </w:t>
      </w:r>
      <w:r w:rsidRPr="003C4B52">
        <w:rPr>
          <w:rFonts w:hint="eastAsia"/>
        </w:rPr>
        <w:t xml:space="preserve">EV71 </w:t>
      </w:r>
      <w:r w:rsidRPr="003C4B52">
        <w:t>vaccine</w:t>
      </w:r>
      <w:r w:rsidRPr="003C4B52">
        <w:rPr>
          <w:rFonts w:hint="eastAsia"/>
        </w:rPr>
        <w:t xml:space="preserve">s, and CpG ODNs loaded nanoadjuvant may be a excellent adjuvant used in other </w:t>
      </w:r>
      <w:r w:rsidRPr="003C4B52">
        <w:t>immunotherapeutic applications</w:t>
      </w:r>
      <w:r w:rsidRPr="003C4B52">
        <w:rPr>
          <w:rFonts w:hint="eastAsia"/>
        </w:rPr>
        <w:t xml:space="preserve"> which</w:t>
      </w:r>
      <w:r w:rsidRPr="003C4B52">
        <w:t xml:space="preserve"> </w:t>
      </w:r>
      <w:r w:rsidRPr="003C4B52">
        <w:rPr>
          <w:rFonts w:hint="eastAsia"/>
        </w:rPr>
        <w:t>demand</w:t>
      </w:r>
      <w:r w:rsidRPr="003C4B52">
        <w:t xml:space="preserve"> type I and type II IFN</w:t>
      </w:r>
      <w:r w:rsidRPr="003C4B52">
        <w:rPr>
          <w:rFonts w:hint="eastAsia"/>
        </w:rPr>
        <w:t xml:space="preserve"> induction.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C4B52">
      <w:pPr>
        <w:pStyle w:val="a3"/>
        <w:spacing w:before="2"/>
        <w:rPr>
          <w:rFonts w:eastAsiaTheme="minorEastAsia"/>
          <w:noProof/>
          <w:lang w:eastAsia="zh-CN"/>
        </w:rPr>
      </w:pPr>
      <w:r w:rsidRPr="003C4B52">
        <w:rPr>
          <w:noProof/>
          <w:lang w:eastAsia="zh-CN"/>
        </w:rPr>
        <w:drawing>
          <wp:inline distT="0" distB="0" distL="0" distR="0">
            <wp:extent cx="3163766" cy="102644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54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66" cy="102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52" w:rsidRPr="003C4B52" w:rsidRDefault="003C4B52" w:rsidP="003C4B52">
      <w:pPr>
        <w:pStyle w:val="a3"/>
        <w:spacing w:before="90" w:line="280" w:lineRule="auto"/>
        <w:ind w:left="100"/>
        <w:jc w:val="both"/>
        <w:rPr>
          <w:rFonts w:ascii="Times New Roman" w:eastAsiaTheme="minorEastAsia" w:hAnsi="Times New Roman" w:cs="Times New Roman"/>
          <w:sz w:val="20"/>
          <w:szCs w:val="20"/>
          <w:lang w:eastAsia="zh-CN"/>
        </w:rPr>
      </w:pPr>
      <w:r w:rsidRPr="003C4B52">
        <w:rPr>
          <w:rFonts w:hint="eastAsia"/>
        </w:rPr>
        <w:t>Fig</w:t>
      </w:r>
      <w:r w:rsidRPr="003C4B52">
        <w:t xml:space="preserve"> 1. Schematic illustration of </w:t>
      </w:r>
      <w:r w:rsidRPr="003C4B52">
        <w:rPr>
          <w:rFonts w:hint="eastAsia"/>
        </w:rPr>
        <w:t>design strategy of the</w:t>
      </w:r>
      <w:r w:rsidRPr="003C4B52">
        <w:t xml:space="preserve"> </w:t>
      </w:r>
      <w:r w:rsidRPr="003C4B52">
        <w:rPr>
          <w:rFonts w:hint="eastAsia"/>
        </w:rPr>
        <w:t>n</w:t>
      </w:r>
      <w:r w:rsidRPr="003C4B52">
        <w:t>anovaccine</w:t>
      </w:r>
      <w:r w:rsidRPr="003C4B52">
        <w:rPr>
          <w:rFonts w:hint="eastAsia"/>
        </w:rPr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6E1C30" w:rsidP="00E3150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E1C30">
        <w:rPr>
          <w:sz w:val="18"/>
        </w:rPr>
        <w:t>Deng, X., Yin, Z., Lu, J., Li, X., Shao, L., &amp; Zhao, C., et al. (2018). In situ monitoring of microrna replacement efficacy and accurate imaging</w:t>
      </w:r>
      <w:r w:rsidRPr="006E1C30">
        <w:rPr>
          <w:rFonts w:hint="eastAsia"/>
          <w:sz w:val="18"/>
        </w:rPr>
        <w:t>‐</w:t>
      </w:r>
      <w:r w:rsidRPr="006E1C30">
        <w:rPr>
          <w:sz w:val="18"/>
        </w:rPr>
        <w:t>guided cancer therapy through light</w:t>
      </w:r>
      <w:r w:rsidRPr="006E1C30">
        <w:rPr>
          <w:rFonts w:hint="eastAsia"/>
          <w:sz w:val="18"/>
        </w:rPr>
        <w:t>‐</w:t>
      </w:r>
      <w:r w:rsidRPr="006E1C30">
        <w:rPr>
          <w:sz w:val="18"/>
        </w:rPr>
        <w:t>up inter</w:t>
      </w:r>
      <w:r w:rsidRPr="006E1C30">
        <w:rPr>
          <w:rFonts w:hint="eastAsia"/>
          <w:sz w:val="18"/>
        </w:rPr>
        <w:t>‐</w:t>
      </w:r>
      <w:r w:rsidRPr="006E1C30">
        <w:rPr>
          <w:sz w:val="18"/>
        </w:rPr>
        <w:t>polyelectrolyte nanocomplexes. Advanced Science, 5(4), 1700542.</w:t>
      </w:r>
    </w:p>
    <w:p w:rsidR="005973B9" w:rsidRDefault="00290B6F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D005A">
        <w:rPr>
          <w:sz w:val="18"/>
        </w:rPr>
        <w:t>Singh, S. M., Alkie, T. N., Nagy, É., Kulkarni, R. R., Hodgins, D. C., &amp; Sharif, S. (2016). Delivery of an inactivated avian influenza virus vaccine adjuvanted with poly(</w:t>
      </w:r>
      <w:r w:rsidR="006D005A">
        <w:rPr>
          <w:rFonts w:eastAsiaTheme="minorEastAsia" w:hint="eastAsia"/>
          <w:sz w:val="18"/>
          <w:lang w:eastAsia="zh-CN"/>
        </w:rPr>
        <w:t>D</w:t>
      </w:r>
      <w:r w:rsidRPr="006D005A">
        <w:rPr>
          <w:sz w:val="18"/>
        </w:rPr>
        <w:t>,</w:t>
      </w:r>
      <w:r w:rsidR="006D005A">
        <w:rPr>
          <w:rFonts w:eastAsiaTheme="minorEastAsia" w:hint="eastAsia"/>
          <w:sz w:val="18"/>
          <w:lang w:eastAsia="zh-CN"/>
        </w:rPr>
        <w:t>L</w:t>
      </w:r>
      <w:r w:rsidRPr="006D005A">
        <w:rPr>
          <w:sz w:val="18"/>
        </w:rPr>
        <w:t>-lactic-co-glycolic acid) encapsulated cpg odn induces protective immune responses in chickens. Vaccine, 34(40), 4807-4813</w:t>
      </w:r>
      <w:r w:rsidRPr="006D005A">
        <w:rPr>
          <w:rFonts w:hint="eastAsia"/>
          <w:sz w:val="18"/>
        </w:rPr>
        <w:t>.</w:t>
      </w:r>
    </w:p>
    <w:p w:rsidR="005973B9" w:rsidRDefault="00290B6F" w:rsidP="006D005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D005A">
        <w:rPr>
          <w:sz w:val="18"/>
        </w:rPr>
        <w:t>Qiao, D., Liu, L., Chen, Y., Xue, C., Gao, Q., &amp; Mao, H. Q., et al. (2018). Potency of a scalable nanoparticulate subunit vaccine. Nano Letters.</w:t>
      </w:r>
    </w:p>
    <w:p w:rsidR="005973B9" w:rsidRPr="006D005A" w:rsidRDefault="006D005A" w:rsidP="006D005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D005A">
        <w:rPr>
          <w:sz w:val="18"/>
        </w:rPr>
        <w:t>Kobiyama K, Aoshi T, Narita H, Kuroda E, Hayashi M, &amp; Tetsutani K, et al. (2014). Nonagonistic dectin-1 ligand transforms cpg into a multitask nanoparticulate tlr9 agonist. Proceedings of the National Academy of Sciences of the United States of America, 111(8), 3086-91.</w:t>
      </w:r>
    </w:p>
    <w:p w:rsidR="00AE3E37" w:rsidRPr="006D005A" w:rsidRDefault="005973B9" w:rsidP="006D005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D005A">
        <w:rPr>
          <w:sz w:val="18"/>
        </w:rPr>
        <w:t xml:space="preserve">5. </w:t>
      </w:r>
      <w:r w:rsidR="00290B6F" w:rsidRPr="006D005A">
        <w:rPr>
          <w:sz w:val="18"/>
        </w:rPr>
        <w:t>Zupančič, E., Curato, C., Paisana, M., Rodrigues, C., Porat, Z., &amp; Viana, A. S., et al. (2017). Rational design of nanoparticles towards targeting antigen-presenting cells and improved t cell priming. Journal of Controlled Release, 258.</w:t>
      </w:r>
      <w:r w:rsidRPr="006D005A"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935B64">
      <w:pPr>
        <w:pStyle w:val="a3"/>
        <w:spacing w:line="40" w:lineRule="exact"/>
        <w:ind w:left="2202"/>
        <w:rPr>
          <w:rFonts w:ascii="Calibri"/>
          <w:sz w:val="4"/>
        </w:rPr>
      </w:pPr>
      <w:r w:rsidRPr="00935B64">
        <w:rPr>
          <w:rFonts w:ascii="Calibri"/>
          <w:noProof/>
          <w:sz w:val="4"/>
          <w:lang w:val="en-IN" w:eastAsia="en-IN"/>
        </w:rPr>
      </w:r>
      <w:r w:rsidRPr="00935B6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9C1D13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9.4pt;height:1in">
            <v:imagedata r:id="rId10" o:title="电子照片"/>
          </v:shape>
        </w:pic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86D36" w:rsidRPr="00510C1A" w:rsidRDefault="00C86D36" w:rsidP="00510C1A">
      <w:pPr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Hao Liang is </w:t>
      </w:r>
      <w:r w:rsidR="00FF415B">
        <w:rPr>
          <w:rFonts w:ascii="Arial" w:eastAsiaTheme="minorEastAsia" w:hint="eastAsia"/>
          <w:sz w:val="14"/>
          <w:lang w:eastAsia="zh-CN"/>
        </w:rPr>
        <w:t xml:space="preserve">a PhD student of </w:t>
      </w:r>
      <w:r w:rsidR="00FF415B" w:rsidRPr="00C86D36">
        <w:rPr>
          <w:rFonts w:ascii="Arial" w:eastAsiaTheme="minorEastAsia"/>
          <w:sz w:val="14"/>
          <w:lang w:eastAsia="zh-CN"/>
        </w:rPr>
        <w:t>Beijing University of Technology</w:t>
      </w:r>
      <w:r w:rsidR="00FF415B">
        <w:rPr>
          <w:rFonts w:ascii="Arial" w:eastAsiaTheme="minorEastAsia" w:hint="eastAsia"/>
          <w:sz w:val="14"/>
          <w:lang w:eastAsia="zh-CN"/>
        </w:rPr>
        <w:t xml:space="preserve"> with Prof. Wang Sheng and </w:t>
      </w:r>
      <w:r w:rsidR="004208FA">
        <w:rPr>
          <w:rFonts w:ascii="Arial" w:eastAsiaTheme="minorEastAsia" w:hint="eastAsia"/>
          <w:sz w:val="14"/>
          <w:lang w:eastAsia="zh-CN"/>
        </w:rPr>
        <w:t xml:space="preserve">major in bioengineering </w:t>
      </w:r>
      <w:r w:rsidR="00FF415B">
        <w:rPr>
          <w:rFonts w:ascii="Arial" w:eastAsiaTheme="minorEastAsia" w:hint="eastAsia"/>
          <w:sz w:val="14"/>
          <w:lang w:eastAsia="zh-CN"/>
        </w:rPr>
        <w:t xml:space="preserve">at </w:t>
      </w:r>
      <w:r w:rsidR="00FF415B" w:rsidRPr="00FF415B">
        <w:rPr>
          <w:rFonts w:ascii="Arial" w:eastAsiaTheme="minorEastAsia"/>
          <w:sz w:val="14"/>
          <w:lang w:eastAsia="zh-CN"/>
        </w:rPr>
        <w:t>College of Life Science and Bioengineering</w:t>
      </w:r>
      <w:r w:rsidR="00FF415B">
        <w:rPr>
          <w:rFonts w:ascii="Arial" w:eastAsiaTheme="minorEastAsia" w:hint="eastAsia"/>
          <w:sz w:val="14"/>
          <w:lang w:eastAsia="zh-CN"/>
        </w:rPr>
        <w:t xml:space="preserve">. He has </w:t>
      </w:r>
      <w:r w:rsidR="00FF415B">
        <w:rPr>
          <w:rFonts w:ascii="Arial" w:eastAsiaTheme="minorEastAsia"/>
          <w:sz w:val="14"/>
          <w:lang w:eastAsia="zh-CN"/>
        </w:rPr>
        <w:t>specialized</w:t>
      </w:r>
      <w:r w:rsidR="00FF415B">
        <w:rPr>
          <w:rFonts w:ascii="Arial" w:eastAsiaTheme="minorEastAsia" w:hint="eastAsia"/>
          <w:sz w:val="14"/>
          <w:lang w:eastAsia="zh-CN"/>
        </w:rPr>
        <w:t xml:space="preserve"> in developing novel vaccines and immune therapy and </w:t>
      </w:r>
      <w:r w:rsidR="00510C1A" w:rsidRPr="00510C1A">
        <w:rPr>
          <w:rFonts w:ascii="Arial" w:eastAsiaTheme="minorEastAsia"/>
          <w:sz w:val="14"/>
          <w:lang w:eastAsia="zh-CN"/>
        </w:rPr>
        <w:t>take</w:t>
      </w:r>
      <w:r w:rsidR="0087079B">
        <w:rPr>
          <w:rFonts w:ascii="Arial" w:eastAsiaTheme="minorEastAsia" w:hint="eastAsia"/>
          <w:sz w:val="14"/>
          <w:lang w:eastAsia="zh-CN"/>
        </w:rPr>
        <w:t>s</w:t>
      </w:r>
      <w:r w:rsidR="00510C1A" w:rsidRPr="00510C1A">
        <w:rPr>
          <w:rFonts w:ascii="Arial" w:eastAsiaTheme="minorEastAsia"/>
          <w:sz w:val="14"/>
          <w:lang w:eastAsia="zh-CN"/>
        </w:rPr>
        <w:t xml:space="preserve"> participate in</w:t>
      </w:r>
      <w:r w:rsidR="00510C1A">
        <w:rPr>
          <w:rFonts w:ascii="Arial" w:eastAsiaTheme="minorEastAsia" w:hint="eastAsia"/>
          <w:sz w:val="14"/>
          <w:lang w:eastAsia="zh-CN"/>
        </w:rPr>
        <w:t xml:space="preserve"> a</w:t>
      </w:r>
      <w:r w:rsidR="00FF415B">
        <w:rPr>
          <w:rFonts w:ascii="Arial" w:eastAsiaTheme="minorEastAsia" w:hint="eastAsia"/>
          <w:sz w:val="14"/>
          <w:lang w:eastAsia="zh-CN"/>
        </w:rPr>
        <w:t xml:space="preserve"> </w:t>
      </w:r>
      <w:r w:rsidR="00FF415B" w:rsidRPr="00510C1A">
        <w:rPr>
          <w:rFonts w:ascii="Arial" w:eastAsiaTheme="minorEastAsia"/>
          <w:sz w:val="14"/>
          <w:lang w:eastAsia="zh-CN"/>
        </w:rPr>
        <w:t>National Natural Science Project</w:t>
      </w:r>
      <w:r w:rsidR="00510C1A">
        <w:rPr>
          <w:rFonts w:ascii="Arial" w:eastAsiaTheme="minorEastAsia" w:hint="eastAsia"/>
          <w:sz w:val="14"/>
          <w:lang w:eastAsia="zh-CN"/>
        </w:rPr>
        <w:t>,</w:t>
      </w:r>
      <w:r w:rsidR="00FF415B" w:rsidRPr="00510C1A">
        <w:rPr>
          <w:rFonts w:ascii="Arial" w:eastAsiaTheme="minorEastAsia"/>
          <w:sz w:val="14"/>
          <w:lang w:eastAsia="zh-CN"/>
        </w:rPr>
        <w:t xml:space="preserve"> </w:t>
      </w:r>
      <w:r w:rsidR="00510C1A">
        <w:rPr>
          <w:rFonts w:ascii="Arial" w:eastAsiaTheme="minorEastAsia" w:hint="eastAsia"/>
          <w:sz w:val="14"/>
          <w:lang w:eastAsia="zh-CN"/>
        </w:rPr>
        <w:t xml:space="preserve">" </w:t>
      </w:r>
      <w:r w:rsidR="00510C1A" w:rsidRPr="00510C1A">
        <w:rPr>
          <w:rFonts w:ascii="Arial" w:eastAsiaTheme="minorEastAsia" w:hint="eastAsia"/>
          <w:sz w:val="14"/>
          <w:lang w:eastAsia="zh-CN"/>
        </w:rPr>
        <w:t xml:space="preserve">Design and Construction of </w:t>
      </w:r>
      <w:r w:rsidR="00510C1A">
        <w:rPr>
          <w:rFonts w:ascii="Arial" w:eastAsiaTheme="minorEastAsia" w:hint="eastAsia"/>
          <w:sz w:val="14"/>
          <w:lang w:eastAsia="zh-CN"/>
        </w:rPr>
        <w:t>beta</w:t>
      </w:r>
      <w:r w:rsidR="00510C1A" w:rsidRPr="00510C1A">
        <w:rPr>
          <w:rFonts w:ascii="Arial" w:eastAsiaTheme="minorEastAsia"/>
          <w:sz w:val="14"/>
          <w:lang w:eastAsia="zh-CN"/>
        </w:rPr>
        <w:t>-</w:t>
      </w:r>
      <w:r w:rsidR="00510C1A" w:rsidRPr="00510C1A">
        <w:rPr>
          <w:rFonts w:ascii="Arial" w:eastAsiaTheme="minorEastAsia" w:hint="eastAsia"/>
          <w:sz w:val="14"/>
          <w:lang w:eastAsia="zh-CN"/>
        </w:rPr>
        <w:t xml:space="preserve">glucan/CpG ODN-based Dual Combined Nano-adjuvant and </w:t>
      </w:r>
      <w:bookmarkStart w:id="0" w:name="OLE_LINK33"/>
      <w:bookmarkStart w:id="1" w:name="OLE_LINK34"/>
      <w:r w:rsidR="00510C1A" w:rsidRPr="00510C1A">
        <w:rPr>
          <w:rFonts w:ascii="Arial" w:eastAsiaTheme="minorEastAsia" w:hint="eastAsia"/>
          <w:sz w:val="14"/>
          <w:lang w:eastAsia="zh-CN"/>
        </w:rPr>
        <w:t xml:space="preserve">Studies on its Immune Effects of </w:t>
      </w:r>
      <w:r w:rsidR="00510C1A" w:rsidRPr="00510C1A">
        <w:rPr>
          <w:rFonts w:ascii="Arial" w:eastAsiaTheme="minorEastAsia"/>
          <w:sz w:val="14"/>
          <w:lang w:eastAsia="zh-CN"/>
        </w:rPr>
        <w:t>Entervirus</w:t>
      </w:r>
      <w:r w:rsidR="00510C1A" w:rsidRPr="00510C1A">
        <w:rPr>
          <w:rFonts w:ascii="Arial" w:eastAsiaTheme="minorEastAsia" w:hint="eastAsia"/>
          <w:sz w:val="14"/>
          <w:lang w:eastAsia="zh-CN"/>
        </w:rPr>
        <w:t xml:space="preserve"> </w:t>
      </w:r>
      <w:r w:rsidR="00510C1A" w:rsidRPr="00510C1A">
        <w:rPr>
          <w:rFonts w:ascii="Arial" w:eastAsiaTheme="minorEastAsia"/>
          <w:sz w:val="14"/>
          <w:lang w:eastAsia="zh-CN"/>
        </w:rPr>
        <w:t>71</w:t>
      </w:r>
      <w:r w:rsidR="00510C1A" w:rsidRPr="00510C1A">
        <w:rPr>
          <w:rFonts w:ascii="Arial" w:eastAsiaTheme="minorEastAsia" w:hint="eastAsia"/>
          <w:sz w:val="14"/>
          <w:lang w:eastAsia="zh-CN"/>
        </w:rPr>
        <w:t xml:space="preserve"> Vaccine</w:t>
      </w:r>
      <w:bookmarkEnd w:id="0"/>
      <w:bookmarkEnd w:id="1"/>
      <w:r w:rsidR="00510C1A">
        <w:rPr>
          <w:rFonts w:ascii="Arial" w:eastAsiaTheme="minorEastAsia" w:hint="eastAsia"/>
          <w:sz w:val="14"/>
          <w:lang w:eastAsia="zh-CN"/>
        </w:rPr>
        <w:t xml:space="preserve"> </w:t>
      </w:r>
      <w:r w:rsidR="00510C1A" w:rsidRPr="00510C1A">
        <w:rPr>
          <w:rFonts w:ascii="Arial" w:eastAsiaTheme="minorEastAsia" w:hint="eastAsia"/>
          <w:sz w:val="14"/>
          <w:lang w:eastAsia="zh-CN"/>
        </w:rPr>
        <w:t xml:space="preserve">" </w:t>
      </w:r>
      <w:r w:rsidR="00FF415B" w:rsidRPr="00510C1A">
        <w:rPr>
          <w:rFonts w:ascii="Arial" w:eastAsiaTheme="minorEastAsia"/>
          <w:sz w:val="14"/>
          <w:lang w:eastAsia="zh-CN"/>
        </w:rPr>
        <w:t xml:space="preserve">(Grant No. </w:t>
      </w:r>
      <w:r w:rsidR="00510C1A" w:rsidRPr="00510C1A">
        <w:rPr>
          <w:rFonts w:ascii="Arial" w:eastAsiaTheme="minorEastAsia" w:hint="eastAsia"/>
          <w:sz w:val="14"/>
          <w:lang w:eastAsia="zh-CN"/>
        </w:rPr>
        <w:t>31770999</w:t>
      </w:r>
      <w:r w:rsidR="00FF415B" w:rsidRPr="00510C1A">
        <w:rPr>
          <w:rFonts w:ascii="Arial" w:eastAsiaTheme="minorEastAsia"/>
          <w:sz w:val="14"/>
          <w:lang w:eastAsia="zh-CN"/>
        </w:rPr>
        <w:t>)</w:t>
      </w:r>
      <w:r w:rsidR="00510C1A" w:rsidRPr="00510C1A">
        <w:rPr>
          <w:rFonts w:ascii="Arial" w:eastAsiaTheme="minorEastAsia" w:hint="eastAsia"/>
          <w:sz w:val="14"/>
          <w:lang w:eastAsia="zh-CN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C4B52">
          <w:rPr>
            <w:rStyle w:val="a8"/>
            <w:rFonts w:ascii="Arial" w:eastAsiaTheme="minorEastAsia" w:hint="eastAsia"/>
            <w:sz w:val="14"/>
            <w:lang w:eastAsia="zh-CN"/>
          </w:rPr>
          <w:t>13426150365@163.com</w:t>
        </w:r>
      </w:hyperlink>
    </w:p>
    <w:p w:rsidR="00AE3E37" w:rsidRPr="00510C1A" w:rsidRDefault="00935B64" w:rsidP="00510C1A">
      <w:pPr>
        <w:pStyle w:val="a3"/>
        <w:spacing w:before="2"/>
        <w:rPr>
          <w:rFonts w:ascii="Arial" w:eastAsiaTheme="minorEastAsia"/>
          <w:sz w:val="19"/>
          <w:lang w:eastAsia="zh-CN"/>
        </w:rPr>
      </w:pPr>
      <w:r w:rsidRPr="00935B6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660723" w:rsidRDefault="00AE3E37" w:rsidP="00660723">
      <w:pPr>
        <w:spacing w:before="39"/>
        <w:rPr>
          <w:rFonts w:ascii="Minion Pro"/>
          <w:b/>
          <w:sz w:val="20"/>
        </w:rPr>
        <w:sectPr w:rsidR="00AE3E37" w:rsidRPr="0066072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2" w:name="_GoBack"/>
      <w:bookmarkEnd w:id="2"/>
    </w:p>
    <w:p w:rsidR="00AE3E37" w:rsidRDefault="00AE3E37" w:rsidP="005C613A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E82" w:rsidRDefault="00BF6E82">
      <w:r>
        <w:separator/>
      </w:r>
    </w:p>
  </w:endnote>
  <w:endnote w:type="continuationSeparator" w:id="1">
    <w:p w:rsidR="00BF6E82" w:rsidRDefault="00BF6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35B64">
    <w:pPr>
      <w:pStyle w:val="a3"/>
      <w:spacing w:line="14" w:lineRule="auto"/>
      <w:rPr>
        <w:sz w:val="20"/>
      </w:rPr>
    </w:pPr>
    <w:r w:rsidRPr="00935B6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35B6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35B6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E82" w:rsidRDefault="00BF6E82">
      <w:r>
        <w:separator/>
      </w:r>
    </w:p>
  </w:footnote>
  <w:footnote w:type="continuationSeparator" w:id="1">
    <w:p w:rsidR="00BF6E82" w:rsidRDefault="00BF6E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35B64">
    <w:pPr>
      <w:pStyle w:val="a3"/>
      <w:spacing w:line="14" w:lineRule="auto"/>
      <w:rPr>
        <w:sz w:val="20"/>
      </w:rPr>
    </w:pPr>
    <w:r w:rsidRPr="00935B6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35B6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252AB"/>
    <w:rsid w:val="00046467"/>
    <w:rsid w:val="000E2911"/>
    <w:rsid w:val="000E7098"/>
    <w:rsid w:val="001263DF"/>
    <w:rsid w:val="00193177"/>
    <w:rsid w:val="00250B4F"/>
    <w:rsid w:val="00277AF9"/>
    <w:rsid w:val="00290B6F"/>
    <w:rsid w:val="00292ED9"/>
    <w:rsid w:val="002F79D6"/>
    <w:rsid w:val="003C4B52"/>
    <w:rsid w:val="003F0162"/>
    <w:rsid w:val="00404E5B"/>
    <w:rsid w:val="00414F7B"/>
    <w:rsid w:val="004208FA"/>
    <w:rsid w:val="004355DC"/>
    <w:rsid w:val="004749B4"/>
    <w:rsid w:val="00494130"/>
    <w:rsid w:val="004F3523"/>
    <w:rsid w:val="00510C1A"/>
    <w:rsid w:val="005973B9"/>
    <w:rsid w:val="005B3A56"/>
    <w:rsid w:val="005C613A"/>
    <w:rsid w:val="006060CE"/>
    <w:rsid w:val="0063497F"/>
    <w:rsid w:val="00660723"/>
    <w:rsid w:val="006D005A"/>
    <w:rsid w:val="006E1C30"/>
    <w:rsid w:val="00735193"/>
    <w:rsid w:val="007B0555"/>
    <w:rsid w:val="0087079B"/>
    <w:rsid w:val="00873DF0"/>
    <w:rsid w:val="008756E6"/>
    <w:rsid w:val="00882CE8"/>
    <w:rsid w:val="00935B64"/>
    <w:rsid w:val="00943B32"/>
    <w:rsid w:val="009B2D44"/>
    <w:rsid w:val="009C1D13"/>
    <w:rsid w:val="009E1D93"/>
    <w:rsid w:val="00A07E82"/>
    <w:rsid w:val="00A9710C"/>
    <w:rsid w:val="00AE3E37"/>
    <w:rsid w:val="00B21A57"/>
    <w:rsid w:val="00B567C8"/>
    <w:rsid w:val="00BF6E82"/>
    <w:rsid w:val="00C12B87"/>
    <w:rsid w:val="00C220B6"/>
    <w:rsid w:val="00C33602"/>
    <w:rsid w:val="00C86D36"/>
    <w:rsid w:val="00CD6F55"/>
    <w:rsid w:val="00DE3104"/>
    <w:rsid w:val="00E22F07"/>
    <w:rsid w:val="00E31506"/>
    <w:rsid w:val="00E65612"/>
    <w:rsid w:val="00F72EEA"/>
    <w:rsid w:val="00F84CAE"/>
    <w:rsid w:val="00FF415B"/>
    <w:rsid w:val="00FF6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Title"/>
    <w:next w:val="a"/>
    <w:link w:val="Char3"/>
    <w:uiPriority w:val="10"/>
    <w:qFormat/>
    <w:rsid w:val="003C4B52"/>
    <w:pPr>
      <w:widowControl/>
      <w:spacing w:before="320" w:after="320"/>
      <w:jc w:val="center"/>
    </w:pPr>
    <w:rPr>
      <w:rFonts w:ascii="Cambria" w:eastAsia="PMingLiU" w:hAnsi="Cambria" w:cs="Calibri"/>
      <w:b/>
      <w:color w:val="336699"/>
      <w:sz w:val="36"/>
      <w:szCs w:val="36"/>
    </w:rPr>
  </w:style>
  <w:style w:type="character" w:customStyle="1" w:styleId="Char3">
    <w:name w:val="标题 Char"/>
    <w:basedOn w:val="a0"/>
    <w:link w:val="a9"/>
    <w:uiPriority w:val="10"/>
    <w:rsid w:val="003C4B52"/>
    <w:rPr>
      <w:rFonts w:ascii="Cambria" w:eastAsia="PMingLiU" w:hAnsi="Cambria" w:cs="Calibri"/>
      <w:b/>
      <w:color w:val="336699"/>
      <w:sz w:val="36"/>
      <w:szCs w:val="36"/>
    </w:rPr>
  </w:style>
  <w:style w:type="paragraph" w:customStyle="1" w:styleId="Authors">
    <w:name w:val="Authors"/>
    <w:basedOn w:val="a"/>
    <w:link w:val="AuthorsChar"/>
    <w:qFormat/>
    <w:rsid w:val="003C4B52"/>
    <w:pPr>
      <w:widowControl/>
      <w:autoSpaceDE w:val="0"/>
      <w:autoSpaceDN w:val="0"/>
      <w:spacing w:before="120" w:after="60"/>
    </w:pPr>
    <w:rPr>
      <w:rFonts w:ascii="Cambria" w:eastAsia="宋体" w:hAnsi="Cambria" w:cs="Calibri"/>
      <w:kern w:val="2"/>
      <w:sz w:val="24"/>
      <w:szCs w:val="21"/>
      <w:lang w:eastAsia="zh-CN"/>
    </w:rPr>
  </w:style>
  <w:style w:type="character" w:customStyle="1" w:styleId="AuthorsChar">
    <w:name w:val="Authors Char"/>
    <w:basedOn w:val="a0"/>
    <w:link w:val="Authors"/>
    <w:rsid w:val="003C4B52"/>
    <w:rPr>
      <w:rFonts w:ascii="Cambria" w:eastAsia="宋体" w:hAnsi="Cambria" w:cs="Calibri"/>
      <w:kern w:val="2"/>
      <w:sz w:val="24"/>
      <w:szCs w:val="21"/>
      <w:lang w:eastAsia="zh-CN"/>
    </w:rPr>
  </w:style>
  <w:style w:type="character" w:customStyle="1" w:styleId="apple-converted-space">
    <w:name w:val="apple-converted-space"/>
    <w:basedOn w:val="a0"/>
    <w:rsid w:val="00E31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10</cp:revision>
  <dcterms:created xsi:type="dcterms:W3CDTF">2018-06-05T12:35:00Z</dcterms:created>
  <dcterms:modified xsi:type="dcterms:W3CDTF">2018-06-05T15:22:00Z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