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A41" w:rsidRDefault="001B4A41" w:rsidP="001B4A41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31859C"/>
          <w:sz w:val="44"/>
          <w:szCs w:val="44"/>
        </w:rPr>
      </w:pPr>
      <w:r>
        <w:rPr>
          <w:rFonts w:ascii="Cambria-Bold" w:hAnsi="Cambria-Bold" w:cs="Cambria-Bold"/>
          <w:b/>
          <w:bCs/>
          <w:color w:val="31859C"/>
          <w:sz w:val="44"/>
          <w:szCs w:val="44"/>
        </w:rPr>
        <w:t xml:space="preserve">Protracted Adjuvant </w:t>
      </w:r>
      <w:proofErr w:type="spellStart"/>
      <w:r>
        <w:rPr>
          <w:rFonts w:ascii="Cambria-Bold" w:hAnsi="Cambria-Bold" w:cs="Cambria-Bold"/>
          <w:b/>
          <w:bCs/>
          <w:color w:val="31859C"/>
          <w:sz w:val="44"/>
          <w:szCs w:val="44"/>
        </w:rPr>
        <w:t>Temozolomide</w:t>
      </w:r>
      <w:proofErr w:type="spellEnd"/>
      <w:r>
        <w:rPr>
          <w:rFonts w:ascii="Cambria-Bold" w:hAnsi="Cambria-Bold" w:cs="Cambria-Bold"/>
          <w:b/>
          <w:bCs/>
          <w:color w:val="31859C"/>
          <w:sz w:val="44"/>
          <w:szCs w:val="44"/>
        </w:rPr>
        <w:t xml:space="preserve"> in</w:t>
      </w:r>
    </w:p>
    <w:p w:rsidR="001B4A41" w:rsidRDefault="001B4A41" w:rsidP="001B4A41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31859C"/>
          <w:sz w:val="44"/>
          <w:szCs w:val="44"/>
        </w:rPr>
      </w:pPr>
      <w:proofErr w:type="spellStart"/>
      <w:r>
        <w:rPr>
          <w:rFonts w:ascii="Cambria-Bold" w:hAnsi="Cambria-Bold" w:cs="Cambria-Bold"/>
          <w:b/>
          <w:bCs/>
          <w:color w:val="31859C"/>
          <w:sz w:val="44"/>
          <w:szCs w:val="44"/>
        </w:rPr>
        <w:t>Glioblastoma</w:t>
      </w:r>
      <w:proofErr w:type="spellEnd"/>
      <w:r>
        <w:rPr>
          <w:rFonts w:ascii="Cambria-Bold" w:hAnsi="Cambria-Bold" w:cs="Cambria-Bold"/>
          <w:b/>
          <w:bCs/>
          <w:color w:val="31859C"/>
          <w:sz w:val="44"/>
          <w:szCs w:val="44"/>
        </w:rPr>
        <w:t xml:space="preserve"> </w:t>
      </w:r>
      <w:proofErr w:type="spellStart"/>
      <w:r>
        <w:rPr>
          <w:rFonts w:ascii="Cambria-Bold" w:hAnsi="Cambria-Bold" w:cs="Cambria-Bold"/>
          <w:b/>
          <w:bCs/>
          <w:color w:val="31859C"/>
          <w:sz w:val="44"/>
          <w:szCs w:val="44"/>
        </w:rPr>
        <w:t>Multiforme</w:t>
      </w:r>
      <w:proofErr w:type="spellEnd"/>
    </w:p>
    <w:p w:rsidR="001B4A41" w:rsidRDefault="001B4A41" w:rsidP="001B4A41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000000"/>
          <w:sz w:val="14"/>
          <w:szCs w:val="14"/>
        </w:rPr>
      </w:pPr>
      <w:r>
        <w:rPr>
          <w:rFonts w:ascii="Cambria-Bold" w:hAnsi="Cambria-Bold" w:cs="Cambria-Bold"/>
          <w:b/>
          <w:bCs/>
          <w:color w:val="000000"/>
        </w:rPr>
        <w:t>Ahmed A. Refae</w:t>
      </w:r>
      <w:r>
        <w:rPr>
          <w:rFonts w:ascii="Cambria-Bold" w:hAnsi="Cambria-Bold" w:cs="Cambria-Bold"/>
          <w:b/>
          <w:bCs/>
          <w:color w:val="000000"/>
          <w:sz w:val="14"/>
          <w:szCs w:val="14"/>
        </w:rPr>
        <w:t>1</w:t>
      </w:r>
      <w:r>
        <w:rPr>
          <w:rFonts w:ascii="Cambria-Bold" w:hAnsi="Cambria-Bold" w:cs="Cambria-Bold"/>
          <w:b/>
          <w:bCs/>
          <w:color w:val="000000"/>
        </w:rPr>
        <w:t>, Ahmed Ezzat</w:t>
      </w:r>
      <w:r>
        <w:rPr>
          <w:rFonts w:ascii="Cambria-Bold" w:hAnsi="Cambria-Bold" w:cs="Cambria-Bold"/>
          <w:b/>
          <w:bCs/>
          <w:color w:val="000000"/>
          <w:sz w:val="14"/>
          <w:szCs w:val="14"/>
        </w:rPr>
        <w:t>1</w:t>
      </w:r>
      <w:r>
        <w:rPr>
          <w:rFonts w:ascii="Cambria-Bold" w:hAnsi="Cambria-Bold" w:cs="Cambria-Bold"/>
          <w:b/>
          <w:bCs/>
          <w:color w:val="000000"/>
        </w:rPr>
        <w:t>, Dina Ahmed Salem</w:t>
      </w:r>
      <w:r>
        <w:rPr>
          <w:rFonts w:ascii="Cambria-Bold" w:hAnsi="Cambria-Bold" w:cs="Cambria-Bold"/>
          <w:b/>
          <w:bCs/>
          <w:color w:val="000000"/>
          <w:sz w:val="14"/>
          <w:szCs w:val="14"/>
        </w:rPr>
        <w:t>1</w:t>
      </w:r>
      <w:r>
        <w:rPr>
          <w:rFonts w:ascii="Cambria-Bold" w:hAnsi="Cambria-Bold" w:cs="Cambria-Bold"/>
          <w:b/>
          <w:bCs/>
          <w:color w:val="000000"/>
        </w:rPr>
        <w:t xml:space="preserve">, </w:t>
      </w:r>
      <w:proofErr w:type="spellStart"/>
      <w:r>
        <w:rPr>
          <w:rFonts w:ascii="Cambria-Bold" w:hAnsi="Cambria-Bold" w:cs="Cambria-Bold"/>
          <w:b/>
          <w:bCs/>
          <w:color w:val="000000"/>
        </w:rPr>
        <w:t>Mervat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Mahrous</w:t>
      </w:r>
      <w:r>
        <w:rPr>
          <w:rFonts w:ascii="Cambria-Bold" w:hAnsi="Cambria-Bold" w:cs="Cambria-Bold"/>
          <w:b/>
          <w:bCs/>
          <w:color w:val="000000"/>
          <w:sz w:val="14"/>
          <w:szCs w:val="14"/>
        </w:rPr>
        <w:t>2</w:t>
      </w:r>
    </w:p>
    <w:p w:rsidR="001B4A41" w:rsidRDefault="001B4A41" w:rsidP="001B4A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13"/>
          <w:szCs w:val="13"/>
        </w:rPr>
        <w:t>1</w:t>
      </w:r>
      <w:r>
        <w:rPr>
          <w:rFonts w:ascii="Calibri" w:hAnsi="Calibri" w:cs="Calibri"/>
          <w:color w:val="000000"/>
          <w:sz w:val="20"/>
          <w:szCs w:val="20"/>
        </w:rPr>
        <w:t xml:space="preserve">Clinical Oncology Department,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Ain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Shams University, Cairo, Egypt</w:t>
      </w:r>
    </w:p>
    <w:p w:rsidR="001B4A41" w:rsidRDefault="001B4A41" w:rsidP="001B4A41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13"/>
          <w:szCs w:val="13"/>
        </w:rPr>
        <w:t>2</w:t>
      </w:r>
      <w:r>
        <w:rPr>
          <w:rFonts w:ascii="Calibri" w:hAnsi="Calibri" w:cs="Calibri"/>
          <w:color w:val="000000"/>
          <w:sz w:val="20"/>
          <w:szCs w:val="20"/>
        </w:rPr>
        <w:t xml:space="preserve">Clinical Oncology Department, Al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Minia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University, Al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Minia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, Egypt</w:t>
      </w:r>
    </w:p>
    <w:p w:rsidR="00BF7DF0" w:rsidRPr="00BF7DF0" w:rsidRDefault="00BF7DF0" w:rsidP="001B4A41">
      <w:pPr>
        <w:rPr>
          <w:b/>
          <w:bCs/>
        </w:rPr>
      </w:pPr>
      <w:r w:rsidRPr="00BF7DF0">
        <w:rPr>
          <w:b/>
          <w:bCs/>
        </w:rPr>
        <w:t>Abstract</w:t>
      </w:r>
    </w:p>
    <w:p w:rsidR="00BF7DF0" w:rsidRPr="00BF7DF0" w:rsidRDefault="00BF7DF0" w:rsidP="00BF7DF0">
      <w:pPr>
        <w:rPr>
          <w:b/>
          <w:bCs/>
        </w:rPr>
      </w:pPr>
      <w:r w:rsidRPr="00BF7DF0">
        <w:rPr>
          <w:b/>
          <w:bCs/>
        </w:rPr>
        <w:t xml:space="preserve">Purpose: Radiotherapy with concurrent </w:t>
      </w:r>
      <w:proofErr w:type="spellStart"/>
      <w:r w:rsidRPr="00BF7DF0">
        <w:rPr>
          <w:b/>
          <w:bCs/>
        </w:rPr>
        <w:t>temozolomide</w:t>
      </w:r>
      <w:proofErr w:type="spellEnd"/>
      <w:r w:rsidRPr="00BF7DF0">
        <w:rPr>
          <w:b/>
          <w:bCs/>
        </w:rPr>
        <w:t xml:space="preserve"> (TMZ), followed by 6 cycles of adjuvant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TMZ,</w:t>
      </w:r>
      <w:proofErr w:type="gramEnd"/>
      <w:r w:rsidRPr="00BF7DF0">
        <w:rPr>
          <w:b/>
          <w:bCs/>
        </w:rPr>
        <w:t xml:space="preserve"> is the standard of care for newly diagnosed </w:t>
      </w:r>
      <w:proofErr w:type="spellStart"/>
      <w:r w:rsidRPr="00BF7DF0">
        <w:rPr>
          <w:b/>
          <w:bCs/>
        </w:rPr>
        <w:t>Glioblastoma</w:t>
      </w:r>
      <w:proofErr w:type="spellEnd"/>
      <w:r w:rsidRPr="00BF7DF0">
        <w:rPr>
          <w:b/>
          <w:bCs/>
        </w:rPr>
        <w:t xml:space="preserve"> </w:t>
      </w:r>
      <w:proofErr w:type="spellStart"/>
      <w:r w:rsidRPr="00BF7DF0">
        <w:rPr>
          <w:b/>
          <w:bCs/>
        </w:rPr>
        <w:t>Mulltiforme</w:t>
      </w:r>
      <w:proofErr w:type="spellEnd"/>
      <w:r w:rsidRPr="00BF7DF0">
        <w:rPr>
          <w:b/>
          <w:bCs/>
        </w:rPr>
        <w:t xml:space="preserve"> (GBM). However tumor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progression</w:t>
      </w:r>
      <w:proofErr w:type="gramEnd"/>
      <w:r w:rsidRPr="00BF7DF0">
        <w:rPr>
          <w:b/>
          <w:bCs/>
        </w:rPr>
        <w:t xml:space="preserve"> is the role with median survival of almost 14 months. With lack of effective second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line</w:t>
      </w:r>
      <w:proofErr w:type="gramEnd"/>
      <w:r w:rsidRPr="00BF7DF0">
        <w:rPr>
          <w:b/>
          <w:bCs/>
        </w:rPr>
        <w:t xml:space="preserve"> chemotherapy, many physicians and some guidelines advocate prolonged use of adjuvant TMZ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more</w:t>
      </w:r>
      <w:proofErr w:type="gramEnd"/>
      <w:r w:rsidRPr="00BF7DF0">
        <w:rPr>
          <w:b/>
          <w:bCs/>
        </w:rPr>
        <w:t xml:space="preserve"> than 6 months. We conduct this study to test the efficacy of protracted adjuvant conventional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dose</w:t>
      </w:r>
      <w:proofErr w:type="gramEnd"/>
      <w:r w:rsidRPr="00BF7DF0">
        <w:rPr>
          <w:b/>
          <w:bCs/>
        </w:rPr>
        <w:t xml:space="preserve"> TMZ over the standard 6 doses of adjuvant TMZ. Material and Methods: This phase II trial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enrolled</w:t>
      </w:r>
      <w:proofErr w:type="gramEnd"/>
      <w:r w:rsidRPr="00BF7DF0">
        <w:rPr>
          <w:b/>
          <w:bCs/>
        </w:rPr>
        <w:t xml:space="preserve"> patients newly diagnosed as GBM, older than age 18 years, with a </w:t>
      </w:r>
      <w:proofErr w:type="spellStart"/>
      <w:r w:rsidRPr="00BF7DF0">
        <w:rPr>
          <w:b/>
          <w:bCs/>
        </w:rPr>
        <w:t>Karnofsky</w:t>
      </w:r>
      <w:proofErr w:type="spellEnd"/>
      <w:r w:rsidRPr="00BF7DF0">
        <w:rPr>
          <w:b/>
          <w:bCs/>
        </w:rPr>
        <w:t xml:space="preserve"> performance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score</w:t>
      </w:r>
      <w:proofErr w:type="gramEnd"/>
      <w:r w:rsidRPr="00BF7DF0">
        <w:rPr>
          <w:b/>
          <w:bCs/>
        </w:rPr>
        <w:t xml:space="preserve"> (KPS) of ≥60, Neurological Performance Scale (NPS) of ≤3. Patients were randomly assigned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to</w:t>
      </w:r>
      <w:proofErr w:type="gramEnd"/>
      <w:r w:rsidRPr="00BF7DF0">
        <w:rPr>
          <w:b/>
          <w:bCs/>
        </w:rPr>
        <w:t xml:space="preserve"> the standard concurrent </w:t>
      </w:r>
      <w:proofErr w:type="spellStart"/>
      <w:r w:rsidRPr="00BF7DF0">
        <w:rPr>
          <w:b/>
          <w:bCs/>
        </w:rPr>
        <w:t>chemoradiotherapy</w:t>
      </w:r>
      <w:proofErr w:type="spellEnd"/>
      <w:r w:rsidRPr="00BF7DF0">
        <w:rPr>
          <w:b/>
          <w:bCs/>
        </w:rPr>
        <w:t xml:space="preserve"> (CCRT) followed by 6 cycles of adjuvant TMZ or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the</w:t>
      </w:r>
      <w:proofErr w:type="gramEnd"/>
      <w:r w:rsidRPr="00BF7DF0">
        <w:rPr>
          <w:b/>
          <w:bCs/>
        </w:rPr>
        <w:t xml:space="preserve"> same treatment with more than 6 cycles of adjuvant chemotherapy extended as long as the patient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in</w:t>
      </w:r>
      <w:proofErr w:type="gramEnd"/>
      <w:r w:rsidRPr="00BF7DF0">
        <w:rPr>
          <w:b/>
          <w:bCs/>
        </w:rPr>
        <w:t xml:space="preserve"> good performance, with no unacceptable toxicity, no signs of disease progression. The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primary</w:t>
      </w:r>
      <w:proofErr w:type="gramEnd"/>
      <w:r w:rsidRPr="00BF7DF0">
        <w:rPr>
          <w:b/>
          <w:bCs/>
        </w:rPr>
        <w:t xml:space="preserve"> end point was OS. Results: A total of 59 patients were recruited in the study and were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randomized</w:t>
      </w:r>
      <w:proofErr w:type="gramEnd"/>
      <w:r w:rsidRPr="00BF7DF0">
        <w:rPr>
          <w:b/>
          <w:bCs/>
        </w:rPr>
        <w:t xml:space="preserve"> in two arms. 29 patients joined arm 1 aiming at receiving CCRT followed by adjuvant</w:t>
      </w:r>
    </w:p>
    <w:p w:rsidR="00BF7DF0" w:rsidRPr="00BF7DF0" w:rsidRDefault="00BF7DF0" w:rsidP="00BF7DF0">
      <w:pPr>
        <w:rPr>
          <w:b/>
          <w:bCs/>
        </w:rPr>
      </w:pPr>
      <w:r w:rsidRPr="00BF7DF0">
        <w:rPr>
          <w:b/>
          <w:bCs/>
        </w:rPr>
        <w:t>6 cycles TMZ (6 cycles arm) and 30 joined arm 2 aiming at receiving the same treatment with more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than</w:t>
      </w:r>
      <w:proofErr w:type="gramEnd"/>
      <w:r w:rsidRPr="00BF7DF0">
        <w:rPr>
          <w:b/>
          <w:bCs/>
        </w:rPr>
        <w:t xml:space="preserve"> 6 cycles of TMZ (&gt;6 cycles). 16 patients managed to complete the adjuvant 6 cycles in arm 1.</w:t>
      </w:r>
    </w:p>
    <w:p w:rsidR="00BF7DF0" w:rsidRPr="00BF7DF0" w:rsidRDefault="00BF7DF0" w:rsidP="00BF7DF0">
      <w:pPr>
        <w:rPr>
          <w:b/>
          <w:bCs/>
        </w:rPr>
      </w:pPr>
      <w:r w:rsidRPr="00BF7DF0">
        <w:rPr>
          <w:b/>
          <w:bCs/>
        </w:rPr>
        <w:t>19 patients in arm 2, completed the 6 cycles with additive more doses with a median of 11 cycles</w:t>
      </w:r>
    </w:p>
    <w:p w:rsidR="00BF7DF0" w:rsidRPr="00BF7DF0" w:rsidRDefault="00BF7DF0" w:rsidP="00BF7DF0">
      <w:pPr>
        <w:rPr>
          <w:b/>
          <w:bCs/>
        </w:rPr>
      </w:pPr>
      <w:r w:rsidRPr="00BF7DF0">
        <w:rPr>
          <w:b/>
          <w:bCs/>
        </w:rPr>
        <w:t>(</w:t>
      </w:r>
      <w:proofErr w:type="gramStart"/>
      <w:r w:rsidRPr="00BF7DF0">
        <w:rPr>
          <w:b/>
          <w:bCs/>
        </w:rPr>
        <w:t>range</w:t>
      </w:r>
      <w:proofErr w:type="gramEnd"/>
      <w:r w:rsidRPr="00BF7DF0">
        <w:rPr>
          <w:b/>
          <w:bCs/>
        </w:rPr>
        <w:t>: 8 - 23 cycles). Median PFS was 12.1 months for (6 cycles) arm, and 18.8 months for (&gt;6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cycles</w:t>
      </w:r>
      <w:proofErr w:type="gramEnd"/>
      <w:r w:rsidRPr="00BF7DF0">
        <w:rPr>
          <w:b/>
          <w:bCs/>
        </w:rPr>
        <w:t>) arm, HR 0.88 (95% CI: 1.185 - 4.901) (P 0.015); the overall survival for (6 cycles) arm was</w:t>
      </w:r>
    </w:p>
    <w:p w:rsidR="00BF7DF0" w:rsidRPr="00BF7DF0" w:rsidRDefault="00BF7DF0" w:rsidP="00BF7DF0">
      <w:pPr>
        <w:rPr>
          <w:b/>
          <w:bCs/>
        </w:rPr>
      </w:pPr>
      <w:r w:rsidRPr="00BF7DF0">
        <w:rPr>
          <w:b/>
          <w:bCs/>
        </w:rPr>
        <w:t>18.1 months, versus 24.1 months, HR 0.70 (95% CI: 1.007 - 4.037) (P 0.048). No significant added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t>toxicity</w:t>
      </w:r>
      <w:proofErr w:type="gramEnd"/>
      <w:r w:rsidRPr="00BF7DF0">
        <w:rPr>
          <w:b/>
          <w:bCs/>
        </w:rPr>
        <w:t xml:space="preserve"> was notice and the 4 weekly TMZ was well tolerated. Conclusion: This study concluded</w:t>
      </w:r>
    </w:p>
    <w:p w:rsidR="00BF7DF0" w:rsidRPr="00BF7DF0" w:rsidRDefault="00BF7DF0" w:rsidP="00BF7DF0">
      <w:pPr>
        <w:rPr>
          <w:b/>
          <w:bCs/>
        </w:rPr>
      </w:pPr>
      <w:proofErr w:type="gramStart"/>
      <w:r w:rsidRPr="00BF7DF0">
        <w:rPr>
          <w:b/>
          <w:bCs/>
        </w:rPr>
        <w:lastRenderedPageBreak/>
        <w:t>that</w:t>
      </w:r>
      <w:proofErr w:type="gramEnd"/>
      <w:r w:rsidRPr="00BF7DF0">
        <w:rPr>
          <w:b/>
          <w:bCs/>
        </w:rPr>
        <w:t xml:space="preserve"> protracted adjuvant TMZ after concurrent </w:t>
      </w:r>
      <w:proofErr w:type="spellStart"/>
      <w:r w:rsidRPr="00BF7DF0">
        <w:rPr>
          <w:b/>
          <w:bCs/>
        </w:rPr>
        <w:t>chemoradiotherapy</w:t>
      </w:r>
      <w:proofErr w:type="spellEnd"/>
      <w:r w:rsidRPr="00BF7DF0">
        <w:rPr>
          <w:b/>
          <w:bCs/>
        </w:rPr>
        <w:t xml:space="preserve"> could be a feasible strategy for</w:t>
      </w:r>
    </w:p>
    <w:p w:rsidR="00B50121" w:rsidRDefault="00BF7DF0" w:rsidP="00BF7DF0">
      <w:proofErr w:type="gramStart"/>
      <w:r w:rsidRPr="00BF7DF0">
        <w:rPr>
          <w:b/>
          <w:bCs/>
        </w:rPr>
        <w:t>GBM.</w:t>
      </w:r>
      <w:proofErr w:type="gramEnd"/>
      <w:r w:rsidRPr="00BF7DF0">
        <w:rPr>
          <w:b/>
          <w:bCs/>
        </w:rPr>
        <w:t xml:space="preserve"> This strategy warrants a large phase III randomized trial.</w:t>
      </w:r>
    </w:p>
    <w:sectPr w:rsidR="00B50121" w:rsidSect="00DB0F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F7DF0"/>
    <w:rsid w:val="001B4A41"/>
    <w:rsid w:val="00B50121"/>
    <w:rsid w:val="00BF7DF0"/>
    <w:rsid w:val="00DB0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</dc:creator>
  <cp:keywords/>
  <dc:description/>
  <cp:lastModifiedBy>MORA</cp:lastModifiedBy>
  <cp:revision>3</cp:revision>
  <dcterms:created xsi:type="dcterms:W3CDTF">2017-12-28T08:31:00Z</dcterms:created>
  <dcterms:modified xsi:type="dcterms:W3CDTF">2017-12-28T10:19:00Z</dcterms:modified>
</cp:coreProperties>
</file>