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4B1A" w:rsidRPr="00C766C1" w:rsidRDefault="001A4B1A" w:rsidP="001A4B1A">
      <w:pPr>
        <w:autoSpaceDE w:val="0"/>
        <w:autoSpaceDN w:val="0"/>
        <w:adjustRightInd w:val="0"/>
        <w:jc w:val="center"/>
        <w:rPr>
          <w:rFonts w:ascii="Times New Roman" w:eastAsia="Calibri" w:hAnsi="Times New Roman" w:cs="Times New Roman"/>
          <w:b/>
          <w:bCs/>
          <w:sz w:val="24"/>
          <w:szCs w:val="24"/>
        </w:rPr>
      </w:pPr>
      <w:r w:rsidRPr="00C766C1">
        <w:rPr>
          <w:rFonts w:ascii="Times New Roman" w:eastAsia="Calibri" w:hAnsi="Times New Roman" w:cs="Times New Roman"/>
          <w:b/>
          <w:bCs/>
          <w:sz w:val="24"/>
          <w:szCs w:val="24"/>
        </w:rPr>
        <w:t>Study of Common Requested Radiographs and Relative Exposure Dose in Qassim Province</w:t>
      </w:r>
    </w:p>
    <w:p w:rsidR="001A4B1A" w:rsidRPr="00C766C1" w:rsidRDefault="001A4B1A" w:rsidP="001A4B1A">
      <w:pPr>
        <w:pStyle w:val="a5"/>
        <w:bidi/>
        <w:jc w:val="right"/>
        <w:rPr>
          <w:rFonts w:hint="cs"/>
          <w:sz w:val="20"/>
          <w:szCs w:val="20"/>
        </w:rPr>
      </w:pPr>
      <w:r w:rsidRPr="00C766C1">
        <w:rPr>
          <w:rFonts w:ascii="Times New Roman" w:hAnsi="Times New Roman" w:cs="Times New Roman"/>
          <w:sz w:val="20"/>
          <w:szCs w:val="20"/>
        </w:rPr>
        <w:t>Abdulrahman</w:t>
      </w:r>
      <w:r w:rsidRPr="00C766C1">
        <w:rPr>
          <w:rFonts w:ascii="Times New Roman" w:hAnsi="Times New Roman" w:cs="Times New Roman"/>
          <w:sz w:val="20"/>
          <w:szCs w:val="20"/>
        </w:rPr>
        <w:t xml:space="preserve"> A. S. Alsayyari, Qassim University – Buraidah – KSA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6563B0" w:rsidRPr="00500B2C" w:rsidRDefault="006563B0" w:rsidP="006563B0">
      <w:pPr>
        <w:autoSpaceDE w:val="0"/>
        <w:autoSpaceDN w:val="0"/>
        <w:adjustRightInd w:val="0"/>
        <w:jc w:val="both"/>
        <w:rPr>
          <w:rFonts w:asciiTheme="minorHAnsi" w:hAnsiTheme="minorHAnsi" w:cs="FlpsrlGiovanni-Book"/>
          <w:sz w:val="18"/>
          <w:szCs w:val="18"/>
        </w:rPr>
      </w:pPr>
      <w:r w:rsidRPr="00500B2C">
        <w:rPr>
          <w:rFonts w:asciiTheme="minorHAnsi" w:hAnsiTheme="minorHAnsi" w:cs="FlpsrlGiovanni-Book"/>
          <w:sz w:val="18"/>
          <w:szCs w:val="18"/>
        </w:rPr>
        <w:t>The objective of the article was to study the common requested radiographs and relative exposure dose in Qassim province in Kingdom of Saudi Arabia. The method was retrospective and analytical study for collected variables as radiographs, relative entrance surface dose (ESD) and the effective dose, patient age, gender and causative factors. The doses have been derived from the product of system output, mAs, back scatter factor BSF, focal detector distance FDD and focus – skin- distance FSD based on the equation stated by ICRU, (2005) and  Davies et al, (1997):</w:t>
      </w:r>
    </w:p>
    <w:p w:rsidR="006563B0" w:rsidRPr="00500B2C" w:rsidRDefault="006563B0" w:rsidP="006563B0">
      <w:pPr>
        <w:autoSpaceDE w:val="0"/>
        <w:autoSpaceDN w:val="0"/>
        <w:adjustRightInd w:val="0"/>
        <w:jc w:val="center"/>
        <w:rPr>
          <w:rFonts w:asciiTheme="minorHAnsi" w:hAnsiTheme="minorHAnsi" w:cs="FlpsrlGiovanni-Book"/>
          <w:sz w:val="18"/>
          <w:szCs w:val="18"/>
        </w:rPr>
      </w:pPr>
      <w:r w:rsidRPr="00500B2C">
        <w:rPr>
          <w:rFonts w:asciiTheme="minorHAnsi" w:hAnsiTheme="minorHAnsi" w:cs="FlpsrlGiovanni-Book"/>
          <w:sz w:val="18"/>
          <w:szCs w:val="18"/>
        </w:rPr>
        <w:t xml:space="preserve">Dose (mGy) = </w:t>
      </w:r>
      <m:oMath>
        <m:f>
          <m:fPr>
            <m:ctrlPr>
              <w:rPr>
                <w:rFonts w:ascii="Cambria Math" w:hAnsi="Cambria Math" w:cs="FlpsrlGiovanni-Book"/>
                <w:i/>
                <w:sz w:val="18"/>
                <w:szCs w:val="18"/>
              </w:rPr>
            </m:ctrlPr>
          </m:fPr>
          <m:num>
            <m:r>
              <w:rPr>
                <w:rFonts w:ascii="Cambria Math" w:hAnsi="Cambria Math" w:cs="FlpsrlGiovanni-Book"/>
                <w:sz w:val="18"/>
                <w:szCs w:val="18"/>
              </w:rPr>
              <m:t>Output</m:t>
            </m:r>
            <m:d>
              <m:dPr>
                <m:ctrlPr>
                  <w:rPr>
                    <w:rFonts w:ascii="Cambria Math" w:hAnsi="Cambria Math" w:cs="FlpsrlGiovanni-Book"/>
                    <w:i/>
                    <w:sz w:val="18"/>
                    <w:szCs w:val="18"/>
                  </w:rPr>
                </m:ctrlPr>
              </m:dPr>
              <m:e>
                <m:f>
                  <m:fPr>
                    <m:type m:val="skw"/>
                    <m:ctrlPr>
                      <w:rPr>
                        <w:rFonts w:ascii="Cambria Math" w:hAnsi="Cambria Math" w:cs="FlpsrlGiovanni-Book"/>
                        <w:i/>
                        <w:sz w:val="18"/>
                        <w:szCs w:val="18"/>
                      </w:rPr>
                    </m:ctrlPr>
                  </m:fPr>
                  <m:num>
                    <m:r>
                      <w:rPr>
                        <w:rFonts w:ascii="Cambria Math" w:hAnsi="Cambria Math" w:cs="FlpsrlGiovanni-Book"/>
                        <w:sz w:val="18"/>
                        <w:szCs w:val="18"/>
                      </w:rPr>
                      <m:t>mGy</m:t>
                    </m:r>
                  </m:num>
                  <m:den>
                    <m:r>
                      <w:rPr>
                        <w:rFonts w:ascii="Cambria Math" w:hAnsi="Cambria Math" w:cs="FlpsrlGiovanni-Book"/>
                        <w:sz w:val="18"/>
                        <w:szCs w:val="18"/>
                      </w:rPr>
                      <m:t>mAs</m:t>
                    </m:r>
                  </m:den>
                </m:f>
              </m:e>
            </m:d>
            <m:r>
              <w:rPr>
                <w:rFonts w:ascii="Cambria Math" w:hAnsi="Cambria Math" w:cs="FlpsrlGiovanni-Book"/>
                <w:sz w:val="18"/>
                <w:szCs w:val="18"/>
              </w:rPr>
              <m:t>×</m:t>
            </m:r>
            <m:d>
              <m:dPr>
                <m:ctrlPr>
                  <w:rPr>
                    <w:rFonts w:ascii="Cambria Math" w:hAnsi="Cambria Math" w:cs="FlpsrlGiovanni-Book"/>
                    <w:i/>
                    <w:sz w:val="18"/>
                    <w:szCs w:val="18"/>
                  </w:rPr>
                </m:ctrlPr>
              </m:dPr>
              <m:e>
                <m:r>
                  <w:rPr>
                    <w:rFonts w:ascii="Cambria Math" w:hAnsi="Cambria Math" w:cs="FlpsrlGiovanni-Book"/>
                    <w:sz w:val="18"/>
                    <w:szCs w:val="18"/>
                  </w:rPr>
                  <m:t>mAs</m:t>
                </m:r>
              </m:e>
            </m:d>
            <m:r>
              <w:rPr>
                <w:rFonts w:ascii="Cambria Math" w:hAnsi="Cambria Math" w:cs="FlpsrlGiovanni-Book"/>
                <w:sz w:val="18"/>
                <w:szCs w:val="18"/>
              </w:rPr>
              <m:t>×</m:t>
            </m:r>
            <m:d>
              <m:dPr>
                <m:ctrlPr>
                  <w:rPr>
                    <w:rFonts w:ascii="Cambria Math" w:hAnsi="Cambria Math" w:cs="FlpsrlGiovanni-Book"/>
                    <w:i/>
                    <w:sz w:val="18"/>
                    <w:szCs w:val="18"/>
                  </w:rPr>
                </m:ctrlPr>
              </m:dPr>
              <m:e>
                <m:r>
                  <w:rPr>
                    <w:rFonts w:ascii="Cambria Math" w:hAnsi="Cambria Math" w:cs="FlpsrlGiovanni-Book"/>
                    <w:sz w:val="18"/>
                    <w:szCs w:val="18"/>
                  </w:rPr>
                  <m:t>BSF</m:t>
                </m:r>
              </m:e>
            </m:d>
            <m:r>
              <w:rPr>
                <w:rFonts w:ascii="Cambria Math" w:hAnsi="Cambria Math" w:cs="FlpsrlGiovanni-Book"/>
                <w:sz w:val="18"/>
                <w:szCs w:val="18"/>
              </w:rPr>
              <m:t>×</m:t>
            </m:r>
            <m:sSup>
              <m:sSupPr>
                <m:ctrlPr>
                  <w:rPr>
                    <w:rFonts w:ascii="Cambria Math" w:hAnsi="Cambria Math" w:cs="FlpsrlGiovanni-Book"/>
                    <w:i/>
                    <w:sz w:val="18"/>
                    <w:szCs w:val="18"/>
                  </w:rPr>
                </m:ctrlPr>
              </m:sSupPr>
              <m:e>
                <m:r>
                  <w:rPr>
                    <w:rFonts w:ascii="Cambria Math" w:hAnsi="Cambria Math" w:cs="FlpsrlGiovanni-Book"/>
                    <w:sz w:val="18"/>
                    <w:szCs w:val="18"/>
                  </w:rPr>
                  <m:t>(FDD)</m:t>
                </m:r>
              </m:e>
              <m:sup>
                <m:r>
                  <w:rPr>
                    <w:rFonts w:ascii="Cambria Math" w:hAnsi="Cambria Math" w:cs="FlpsrlGiovanni-Book"/>
                    <w:sz w:val="18"/>
                    <w:szCs w:val="18"/>
                  </w:rPr>
                  <m:t>2</m:t>
                </m:r>
              </m:sup>
            </m:sSup>
          </m:num>
          <m:den>
            <m:sSup>
              <m:sSupPr>
                <m:ctrlPr>
                  <w:rPr>
                    <w:rFonts w:ascii="Cambria Math" w:hAnsi="Cambria Math" w:cs="FlpsrlGiovanni-Book"/>
                    <w:i/>
                    <w:sz w:val="18"/>
                    <w:szCs w:val="18"/>
                  </w:rPr>
                </m:ctrlPr>
              </m:sSupPr>
              <m:e>
                <m:r>
                  <w:rPr>
                    <w:rFonts w:ascii="Cambria Math" w:hAnsi="Cambria Math" w:cs="FlpsrlGiovanni-Book"/>
                    <w:sz w:val="18"/>
                    <w:szCs w:val="18"/>
                  </w:rPr>
                  <m:t>(FSD)</m:t>
                </m:r>
              </m:e>
              <m:sup>
                <m:r>
                  <w:rPr>
                    <w:rFonts w:ascii="Cambria Math" w:hAnsi="Cambria Math" w:cs="FlpsrlGiovanni-Book"/>
                    <w:sz w:val="18"/>
                    <w:szCs w:val="18"/>
                  </w:rPr>
                  <m:t>2</m:t>
                </m:r>
              </m:sup>
            </m:sSup>
          </m:den>
        </m:f>
      </m:oMath>
    </w:p>
    <w:p w:rsidR="006563B0" w:rsidRPr="00500B2C" w:rsidRDefault="006563B0" w:rsidP="002374FB">
      <w:pPr>
        <w:jc w:val="both"/>
        <w:rPr>
          <w:rFonts w:asciiTheme="minorHAnsi" w:hAnsiTheme="minorHAnsi" w:cs="Times New Roman"/>
          <w:sz w:val="18"/>
          <w:szCs w:val="18"/>
        </w:rPr>
      </w:pPr>
      <w:r w:rsidRPr="00500B2C">
        <w:rPr>
          <w:rFonts w:asciiTheme="minorHAnsi" w:hAnsiTheme="minorHAnsi" w:cs="Times New Roman"/>
          <w:sz w:val="18"/>
          <w:szCs w:val="18"/>
        </w:rPr>
        <w:t>Then the effective dose in mSv has been deri</w:t>
      </w:r>
      <w:r w:rsidR="002374FB" w:rsidRPr="00500B2C">
        <w:rPr>
          <w:rFonts w:asciiTheme="minorHAnsi" w:hAnsiTheme="minorHAnsi" w:cs="Times New Roman"/>
          <w:sz w:val="18"/>
          <w:szCs w:val="18"/>
        </w:rPr>
        <w:t xml:space="preserve">ved from the equation stated by </w:t>
      </w:r>
      <w:r w:rsidRPr="00500B2C">
        <w:rPr>
          <w:rFonts w:asciiTheme="minorHAnsi" w:hAnsiTheme="minorHAnsi" w:cs="Times New Roman"/>
          <w:sz w:val="18"/>
          <w:szCs w:val="18"/>
        </w:rPr>
        <w:t>ICRP, 2007 report 103.</w:t>
      </w:r>
    </w:p>
    <w:p w:rsidR="006563B0" w:rsidRPr="00500B2C" w:rsidRDefault="006563B0" w:rsidP="006563B0">
      <w:pPr>
        <w:autoSpaceDE w:val="0"/>
        <w:autoSpaceDN w:val="0"/>
        <w:adjustRightInd w:val="0"/>
        <w:jc w:val="center"/>
        <w:rPr>
          <w:rFonts w:asciiTheme="minorHAnsi" w:hAnsiTheme="minorHAnsi" w:cs="Times New Roman"/>
          <w:sz w:val="18"/>
          <w:szCs w:val="18"/>
        </w:rPr>
      </w:pPr>
    </w:p>
    <w:p w:rsidR="006563B0" w:rsidRPr="00500B2C" w:rsidRDefault="006563B0" w:rsidP="006563B0">
      <w:pPr>
        <w:autoSpaceDE w:val="0"/>
        <w:autoSpaceDN w:val="0"/>
        <w:adjustRightInd w:val="0"/>
        <w:jc w:val="center"/>
        <w:rPr>
          <w:rFonts w:asciiTheme="minorHAnsi" w:hAnsiTheme="minorHAnsi" w:cs="Times New Roman"/>
          <w:sz w:val="18"/>
          <w:szCs w:val="18"/>
        </w:rPr>
      </w:pPr>
      <m:oMathPara>
        <m:oMath>
          <m:r>
            <w:rPr>
              <w:rFonts w:ascii="Cambria Math" w:hAnsi="Cambria Math" w:cs="Times New Roman"/>
              <w:sz w:val="18"/>
              <w:szCs w:val="18"/>
            </w:rPr>
            <m:t>EffD=</m:t>
          </m:r>
          <m:nary>
            <m:naryPr>
              <m:chr m:val="∑"/>
              <m:limLoc m:val="undOvr"/>
              <m:subHide m:val="1"/>
              <m:supHide m:val="1"/>
              <m:ctrlPr>
                <w:rPr>
                  <w:rFonts w:ascii="Cambria Math" w:hAnsi="Cambria Math" w:cs="Times New Roman"/>
                  <w:i/>
                  <w:sz w:val="18"/>
                  <w:szCs w:val="18"/>
                </w:rPr>
              </m:ctrlPr>
            </m:naryPr>
            <m:sub/>
            <m:sup/>
            <m:e>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W</m:t>
                      </m:r>
                    </m:e>
                    <m:sub>
                      <m:r>
                        <w:rPr>
                          <w:rFonts w:ascii="Cambria Math" w:hAnsi="Cambria Math" w:cs="Times New Roman"/>
                          <w:sz w:val="18"/>
                          <w:szCs w:val="18"/>
                        </w:rPr>
                        <m:t>T</m:t>
                      </m:r>
                    </m:sub>
                  </m:sSub>
                  <m:r>
                    <w:rPr>
                      <w:rFonts w:ascii="Cambria Math" w:hAnsi="Cambria Math" w:cs="Times New Roman"/>
                      <w:sz w:val="18"/>
                      <w:szCs w:val="18"/>
                    </w:rPr>
                    <m:t>[</m:t>
                  </m:r>
                  <m:sSub>
                    <m:sSubPr>
                      <m:ctrlPr>
                        <w:rPr>
                          <w:rFonts w:ascii="Cambria Math" w:hAnsi="Cambria Math" w:cs="Times New Roman"/>
                          <w:i/>
                          <w:sz w:val="18"/>
                          <w:szCs w:val="18"/>
                        </w:rPr>
                      </m:ctrlPr>
                    </m:sSubPr>
                    <m:e>
                      <m:r>
                        <w:rPr>
                          <w:rFonts w:ascii="Cambria Math" w:hAnsi="Cambria Math" w:cs="Times New Roman"/>
                          <w:sz w:val="18"/>
                          <w:szCs w:val="18"/>
                        </w:rPr>
                        <m:t>H</m:t>
                      </m:r>
                    </m:e>
                    <m:sub>
                      <m:r>
                        <w:rPr>
                          <w:rFonts w:ascii="Cambria Math" w:hAnsi="Cambria Math" w:cs="Times New Roman"/>
                          <w:sz w:val="18"/>
                          <w:szCs w:val="18"/>
                        </w:rPr>
                        <m:t>T</m:t>
                      </m:r>
                    </m:sub>
                  </m:sSub>
                  <m:d>
                    <m:dPr>
                      <m:ctrlPr>
                        <w:rPr>
                          <w:rFonts w:ascii="Cambria Math" w:hAnsi="Cambria Math" w:cs="Times New Roman"/>
                          <w:i/>
                          <w:sz w:val="18"/>
                          <w:szCs w:val="18"/>
                        </w:rPr>
                      </m:ctrlPr>
                    </m:dPr>
                    <m:e>
                      <m:r>
                        <w:rPr>
                          <w:rFonts w:ascii="Cambria Math" w:hAnsi="Cambria Math" w:cs="Times New Roman"/>
                          <w:sz w:val="18"/>
                          <w:szCs w:val="18"/>
                        </w:rPr>
                        <m:t>female</m:t>
                      </m:r>
                    </m:e>
                  </m:d>
                  <m:r>
                    <w:rPr>
                      <w:rFonts w:ascii="Cambria Math" w:hAnsi="Cambria Math" w:cs="Times New Roman"/>
                      <w:sz w:val="18"/>
                      <w:szCs w:val="18"/>
                    </w:rPr>
                    <m:t xml:space="preserve">+ </m:t>
                  </m:r>
                  <m:sSub>
                    <m:sSubPr>
                      <m:ctrlPr>
                        <w:rPr>
                          <w:rFonts w:ascii="Cambria Math" w:hAnsi="Cambria Math" w:cs="Times New Roman"/>
                          <w:i/>
                          <w:sz w:val="18"/>
                          <w:szCs w:val="18"/>
                        </w:rPr>
                      </m:ctrlPr>
                    </m:sSubPr>
                    <m:e>
                      <m:r>
                        <w:rPr>
                          <w:rFonts w:ascii="Cambria Math" w:hAnsi="Cambria Math" w:cs="Times New Roman"/>
                          <w:sz w:val="18"/>
                          <w:szCs w:val="18"/>
                        </w:rPr>
                        <m:t>H</m:t>
                      </m:r>
                    </m:e>
                    <m:sub>
                      <m:r>
                        <w:rPr>
                          <w:rFonts w:ascii="Cambria Math" w:hAnsi="Cambria Math" w:cs="Times New Roman"/>
                          <w:sz w:val="18"/>
                          <w:szCs w:val="18"/>
                        </w:rPr>
                        <m:t>T</m:t>
                      </m:r>
                    </m:sub>
                  </m:sSub>
                  <m:d>
                    <m:dPr>
                      <m:ctrlPr>
                        <w:rPr>
                          <w:rFonts w:ascii="Cambria Math" w:hAnsi="Cambria Math" w:cs="Times New Roman"/>
                          <w:i/>
                          <w:sz w:val="18"/>
                          <w:szCs w:val="18"/>
                        </w:rPr>
                      </m:ctrlPr>
                    </m:dPr>
                    <m:e>
                      <m:r>
                        <w:rPr>
                          <w:rFonts w:ascii="Cambria Math" w:hAnsi="Cambria Math" w:cs="Times New Roman"/>
                          <w:sz w:val="18"/>
                          <w:szCs w:val="18"/>
                        </w:rPr>
                        <m:t>male</m:t>
                      </m:r>
                    </m:e>
                  </m:d>
                  <m:r>
                    <w:rPr>
                      <w:rFonts w:ascii="Cambria Math" w:hAnsi="Cambria Math" w:cs="Times New Roman"/>
                      <w:sz w:val="18"/>
                      <w:szCs w:val="18"/>
                    </w:rPr>
                    <m:t>]</m:t>
                  </m:r>
                </m:num>
                <m:den>
                  <m:r>
                    <w:rPr>
                      <w:rFonts w:ascii="Cambria Math" w:hAnsi="Cambria Math" w:cs="Times New Roman"/>
                      <w:sz w:val="18"/>
                      <w:szCs w:val="18"/>
                    </w:rPr>
                    <m:t>2</m:t>
                  </m:r>
                </m:den>
              </m:f>
            </m:e>
          </m:nary>
        </m:oMath>
      </m:oMathPara>
    </w:p>
    <w:p w:rsidR="006563B0" w:rsidRPr="00500B2C" w:rsidRDefault="006563B0" w:rsidP="006563B0">
      <w:pPr>
        <w:autoSpaceDE w:val="0"/>
        <w:autoSpaceDN w:val="0"/>
        <w:adjustRightInd w:val="0"/>
        <w:jc w:val="center"/>
        <w:rPr>
          <w:rFonts w:asciiTheme="minorHAnsi" w:hAnsiTheme="minorHAnsi" w:cs="Times New Roman"/>
          <w:sz w:val="18"/>
          <w:szCs w:val="18"/>
        </w:rPr>
      </w:pPr>
    </w:p>
    <w:p w:rsidR="006563B0" w:rsidRPr="00500B2C" w:rsidRDefault="006563B0" w:rsidP="006563B0">
      <w:pPr>
        <w:autoSpaceDE w:val="0"/>
        <w:autoSpaceDN w:val="0"/>
        <w:adjustRightInd w:val="0"/>
        <w:jc w:val="both"/>
        <w:rPr>
          <w:rFonts w:asciiTheme="minorHAnsi" w:hAnsiTheme="minorHAnsi" w:cs="Times New Roman"/>
          <w:sz w:val="18"/>
          <w:szCs w:val="18"/>
        </w:rPr>
      </w:pPr>
      <w:r w:rsidRPr="00500B2C">
        <w:rPr>
          <w:rFonts w:asciiTheme="minorHAnsi" w:hAnsiTheme="minorHAnsi" w:cs="Times New Roman"/>
          <w:sz w:val="18"/>
          <w:szCs w:val="18"/>
        </w:rPr>
        <w:t>Where W</w:t>
      </w:r>
      <w:r w:rsidRPr="00500B2C">
        <w:rPr>
          <w:rFonts w:asciiTheme="minorHAnsi" w:hAnsiTheme="minorHAnsi" w:cs="Times New Roman"/>
          <w:sz w:val="18"/>
          <w:szCs w:val="18"/>
          <w:vertAlign w:val="subscript"/>
        </w:rPr>
        <w:t>T</w:t>
      </w:r>
      <w:r w:rsidRPr="00500B2C">
        <w:rPr>
          <w:rFonts w:asciiTheme="minorHAnsi" w:hAnsiTheme="minorHAnsi" w:cs="Times New Roman"/>
          <w:sz w:val="18"/>
          <w:szCs w:val="18"/>
        </w:rPr>
        <w:t xml:space="preserve"> refers to weighting factor for organ or tissue and H</w:t>
      </w:r>
      <w:r w:rsidRPr="00500B2C">
        <w:rPr>
          <w:rFonts w:asciiTheme="minorHAnsi" w:hAnsiTheme="minorHAnsi" w:cs="Times New Roman"/>
          <w:sz w:val="18"/>
          <w:szCs w:val="18"/>
          <w:vertAlign w:val="subscript"/>
        </w:rPr>
        <w:t>T</w:t>
      </w:r>
      <w:r w:rsidRPr="00500B2C">
        <w:rPr>
          <w:rFonts w:asciiTheme="minorHAnsi" w:hAnsiTheme="minorHAnsi" w:cs="Times New Roman"/>
          <w:sz w:val="18"/>
          <w:szCs w:val="18"/>
        </w:rPr>
        <w:t xml:space="preserve"> refers to equivalent dose to organ or tissue.</w:t>
      </w:r>
    </w:p>
    <w:p w:rsidR="006563B0" w:rsidRDefault="006563B0" w:rsidP="006563B0">
      <w:pPr>
        <w:jc w:val="both"/>
        <w:rPr>
          <w:rFonts w:asciiTheme="minorHAnsi" w:hAnsiTheme="minorHAnsi" w:cs="FlpsrlGiovanni-Book"/>
          <w:color w:val="000000" w:themeColor="text1"/>
          <w:sz w:val="18"/>
          <w:szCs w:val="18"/>
        </w:rPr>
      </w:pPr>
      <w:r w:rsidRPr="00500B2C">
        <w:rPr>
          <w:rFonts w:asciiTheme="minorHAnsi" w:hAnsiTheme="minorHAnsi" w:cs="FlpsrlGiovanni-Book"/>
          <w:color w:val="000000" w:themeColor="text1"/>
          <w:sz w:val="18"/>
          <w:szCs w:val="18"/>
        </w:rPr>
        <w:t xml:space="preserve">The analysis with excel software revealed that: </w:t>
      </w:r>
      <w:r w:rsidRPr="00500B2C">
        <w:rPr>
          <w:rFonts w:asciiTheme="minorHAnsi" w:hAnsiTheme="minorHAnsi" w:cstheme="majorBidi"/>
          <w:bCs/>
          <w:color w:val="000000" w:themeColor="text1"/>
          <w:sz w:val="18"/>
          <w:szCs w:val="18"/>
        </w:rPr>
        <w:t xml:space="preserve">the common requested radiographs were skull, abdomen and chest with male incidence as 75%, 72.2% and 64% respectively relative to whole sample. Traffic accident (71%) and fall-down (45%) were the most causative factors among </w:t>
      </w:r>
      <w:r w:rsidRPr="00500B2C">
        <w:rPr>
          <w:rFonts w:asciiTheme="minorHAnsi" w:hAnsiTheme="minorHAnsi" w:cstheme="majorBidi"/>
          <w:bCs/>
          <w:color w:val="000000" w:themeColor="text1"/>
          <w:sz w:val="18"/>
          <w:szCs w:val="18"/>
        </w:rPr>
        <w:t>male, female respectively, with injuries as skull fissure fracture (77%),</w:t>
      </w:r>
      <w:r w:rsidRPr="00500B2C">
        <w:rPr>
          <w:rFonts w:asciiTheme="minorHAnsi" w:hAnsiTheme="minorHAnsi" w:cs="Times New Roman"/>
          <w:bCs/>
          <w:color w:val="000000" w:themeColor="text1"/>
          <w:sz w:val="18"/>
          <w:szCs w:val="18"/>
        </w:rPr>
        <w:t xml:space="preserve"> and intracranial hemorrhage (23%). The skull radiographs noted among the age group of 11-21 years and peaking at 36% among the age group of 22-32 years. The requested abdominal radiographs appeared among the age group of 13-21 years; with frequency of (19%) and peaking at 30% among the age group of 22-30 years; with injuries as spleen ruptures (42%) and liver (27%). The chest radiographs observed among age group of 3-13 years; with frequency of 4% and peaking among age groups of 14-24 &amp; 25-35 years old with frequencies of 19% and 21% respectively, and injuries as ribs fracture (55%), ribs dislocation (15%), pierced lung (20%) hemorrhage (10%). The average ESD for </w:t>
      </w:r>
      <w:r w:rsidRPr="00500B2C">
        <w:rPr>
          <w:rFonts w:asciiTheme="minorHAnsi" w:hAnsiTheme="minorHAnsi" w:cs="Times New Roman"/>
          <w:bCs/>
          <w:i/>
          <w:iCs/>
          <w:color w:val="000000" w:themeColor="text1"/>
          <w:sz w:val="18"/>
          <w:szCs w:val="18"/>
        </w:rPr>
        <w:t>abdomen, skull and the chest radiographs</w:t>
      </w:r>
      <w:r w:rsidRPr="00500B2C">
        <w:rPr>
          <w:rFonts w:asciiTheme="minorHAnsi" w:hAnsiTheme="minorHAnsi" w:cs="Times New Roman"/>
          <w:bCs/>
          <w:color w:val="000000" w:themeColor="text1"/>
          <w:sz w:val="18"/>
          <w:szCs w:val="18"/>
        </w:rPr>
        <w:t xml:space="preserve"> were 1.93±0.8, 1.53±0.6 and 0.21±0.2 </w:t>
      </w:r>
      <w:r w:rsidRPr="00500B2C">
        <w:rPr>
          <w:rFonts w:asciiTheme="minorHAnsi" w:hAnsiTheme="minorHAnsi" w:cs="Times New Roman"/>
          <w:bCs/>
          <w:color w:val="000000" w:themeColor="text1"/>
          <w:sz w:val="18"/>
          <w:szCs w:val="18"/>
        </w:rPr>
        <w:t>mGy, which</w:t>
      </w:r>
      <w:r w:rsidRPr="00500B2C">
        <w:rPr>
          <w:rFonts w:asciiTheme="minorHAnsi" w:hAnsiTheme="minorHAnsi" w:cs="Times New Roman"/>
          <w:bCs/>
          <w:color w:val="000000" w:themeColor="text1"/>
          <w:sz w:val="18"/>
          <w:szCs w:val="18"/>
        </w:rPr>
        <w:t xml:space="preserve"> were increa</w:t>
      </w:r>
      <w:r w:rsidRPr="00500B2C">
        <w:rPr>
          <w:rFonts w:asciiTheme="minorHAnsi" w:hAnsiTheme="minorHAnsi" w:cs="Times New Roman"/>
          <w:bCs/>
          <w:color w:val="000000" w:themeColor="text1"/>
          <w:sz w:val="18"/>
          <w:szCs w:val="18"/>
        </w:rPr>
        <w:t xml:space="preserve">se linearly following the aging, and </w:t>
      </w:r>
      <w:r w:rsidRPr="00500B2C">
        <w:rPr>
          <w:rFonts w:asciiTheme="minorHAnsi" w:hAnsiTheme="minorHAnsi" w:cs="Times New Roman"/>
          <w:bCs/>
          <w:color w:val="000000" w:themeColor="text1"/>
          <w:sz w:val="18"/>
          <w:szCs w:val="18"/>
        </w:rPr>
        <w:t>the average effective doses were 0.24±0.1, 0.1±0.1 and 0.4±0.2 mSv respectively.</w:t>
      </w:r>
    </w:p>
    <w:p w:rsidR="00FE0489" w:rsidRDefault="00FE0489" w:rsidP="008C3E7D">
      <w:pPr>
        <w:spacing w:before="92"/>
        <w:ind w:right="-31"/>
        <w:rPr>
          <w:rFonts w:ascii="Arial"/>
          <w:color w:val="BF5A14"/>
        </w:rPr>
      </w:pPr>
    </w:p>
    <w:p w:rsidR="008C3E7D" w:rsidRDefault="008C3E7D" w:rsidP="008C3E7D">
      <w:pPr>
        <w:spacing w:before="92"/>
        <w:ind w:right="-31"/>
        <w:rPr>
          <w:rFonts w:ascii="Arial"/>
        </w:rPr>
      </w:pPr>
      <w:bookmarkStart w:id="0" w:name="_GoBack"/>
      <w:bookmarkEnd w:id="0"/>
      <w:r>
        <w:rPr>
          <w:rFonts w:ascii="Arial"/>
          <w:color w:val="BF5A14"/>
        </w:rPr>
        <w:t>Biography (150 word limit)</w:t>
      </w:r>
    </w:p>
    <w:p w:rsidR="00FE0489" w:rsidRDefault="001A4B1A" w:rsidP="001A4B1A">
      <w:pPr>
        <w:pStyle w:val="a5"/>
        <w:bidi/>
        <w:jc w:val="right"/>
        <w:rPr>
          <w:rFonts w:ascii="Times New Roman" w:hAnsi="Times New Roman" w:cs="Times New Roman"/>
          <w:sz w:val="20"/>
          <w:szCs w:val="20"/>
        </w:rPr>
      </w:pPr>
      <w:r w:rsidRPr="00C766C1">
        <w:rPr>
          <w:rFonts w:ascii="Times New Roman" w:hAnsi="Times New Roman" w:cs="Times New Roman"/>
          <w:sz w:val="20"/>
          <w:szCs w:val="20"/>
        </w:rPr>
        <w:t>Abdulrahman Alsayyari,</w:t>
      </w:r>
      <w:r>
        <w:rPr>
          <w:rFonts w:ascii="Times New Roman" w:hAnsi="Times New Roman" w:cs="Times New Roman"/>
          <w:sz w:val="20"/>
          <w:szCs w:val="20"/>
        </w:rPr>
        <w:t xml:space="preserve"> is a vice dean of the college of applied medical sciences at Qassim university. He obtained his PhD degree from university of Queensland at Australia. He worked in both sector clinical and educational where he developed his experience and knowledge to improve the healthcare services for the Saudi population.    </w:t>
      </w:r>
    </w:p>
    <w:p w:rsidR="00FE0489" w:rsidRDefault="00FE0489" w:rsidP="00FE0489">
      <w:pPr>
        <w:pStyle w:val="a5"/>
        <w:ind w:left="426" w:firstLine="1014"/>
        <w:jc w:val="right"/>
        <w:rPr>
          <w:rFonts w:ascii="Times New Roman" w:hAnsi="Times New Roman" w:cs="Times New Roman"/>
          <w:sz w:val="20"/>
          <w:szCs w:val="20"/>
        </w:rPr>
      </w:pPr>
      <w:r>
        <w:rPr>
          <w:rFonts w:ascii="Minion Pro"/>
          <w:noProof/>
          <w:sz w:val="26"/>
        </w:rPr>
        <w:drawing>
          <wp:anchor distT="0" distB="0" distL="114300" distR="114300" simplePos="0" relativeHeight="251660800" behindDoc="0" locked="0" layoutInCell="1" allowOverlap="1">
            <wp:simplePos x="0" y="0"/>
            <wp:positionH relativeFrom="column">
              <wp:posOffset>2047240</wp:posOffset>
            </wp:positionH>
            <wp:positionV relativeFrom="paragraph">
              <wp:posOffset>25400</wp:posOffset>
            </wp:positionV>
            <wp:extent cx="876300" cy="1139190"/>
            <wp:effectExtent l="0" t="0" r="0" b="3810"/>
            <wp:wrapNone/>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300" cy="1139190"/>
                    </a:xfrm>
                    <a:prstGeom prst="rect">
                      <a:avLst/>
                    </a:prstGeom>
                    <a:noFill/>
                    <a:ln>
                      <a:noFill/>
                    </a:ln>
                  </pic:spPr>
                </pic:pic>
              </a:graphicData>
            </a:graphic>
          </wp:anchor>
        </w:drawing>
      </w:r>
    </w:p>
    <w:p w:rsidR="00FE0489" w:rsidRPr="00FE0489" w:rsidRDefault="00FE0489" w:rsidP="00FE0489">
      <w:pPr>
        <w:pStyle w:val="a5"/>
        <w:ind w:firstLine="426"/>
        <w:jc w:val="both"/>
        <w:rPr>
          <w:rFonts w:ascii="Times New Roman" w:hAnsi="Times New Roman" w:cs="Times New Roman"/>
          <w:sz w:val="20"/>
          <w:szCs w:val="20"/>
        </w:rPr>
      </w:pPr>
      <w:r>
        <w:rPr>
          <w:rFonts w:ascii="Times New Roman" w:hAnsi="Times New Roman" w:cs="Times New Roman"/>
          <w:sz w:val="20"/>
          <w:szCs w:val="20"/>
        </w:rPr>
        <w:t>Email: a.alsayyari@qu.edu.sa</w:t>
      </w:r>
    </w:p>
    <w:p w:rsidR="001A4B1A" w:rsidRPr="00FE0489" w:rsidRDefault="00FE0489" w:rsidP="00FE0489">
      <w:pPr>
        <w:pStyle w:val="a5"/>
        <w:bidi/>
        <w:ind w:left="2880"/>
        <w:jc w:val="right"/>
        <w:rPr>
          <w:rFonts w:cstheme="minorBidi" w:hint="cs"/>
          <w:sz w:val="20"/>
          <w:szCs w:val="20"/>
          <w:rtl/>
        </w:rPr>
      </w:pPr>
      <w:r w:rsidRPr="00FE0489">
        <w:rPr>
          <w:rFonts w:ascii="Times New Roman" w:hAnsi="Times New Roman" w:cs="Times New Roman"/>
          <w:sz w:val="20"/>
          <w:szCs w:val="20"/>
        </w:rPr>
        <w:t>Phon</w:t>
      </w:r>
      <w:r>
        <w:rPr>
          <w:rFonts w:ascii="Times New Roman" w:hAnsi="Times New Roman" w:cs="Times New Roman"/>
          <w:sz w:val="20"/>
          <w:szCs w:val="20"/>
        </w:rPr>
        <w:t>e: +966546650433</w:t>
      </w:r>
      <w:r>
        <w:rPr>
          <w:rFonts w:cstheme="minorBidi"/>
          <w:sz w:val="20"/>
          <w:szCs w:val="20"/>
          <w:rtl/>
        </w:rPr>
        <w:tab/>
      </w:r>
    </w:p>
    <w:p w:rsidR="008C3E7D" w:rsidRPr="00500B2C" w:rsidRDefault="008C3E7D" w:rsidP="006563B0">
      <w:pPr>
        <w:jc w:val="both"/>
        <w:rPr>
          <w:rFonts w:asciiTheme="minorHAnsi" w:hAnsiTheme="minorHAnsi" w:cs="FlpsrlGiovanni-Book"/>
          <w:color w:val="000000" w:themeColor="text1"/>
          <w:sz w:val="18"/>
          <w:szCs w:val="18"/>
        </w:rPr>
      </w:pPr>
    </w:p>
    <w:p w:rsidR="00AE3E37" w:rsidRDefault="00A9710C">
      <w:pPr>
        <w:pStyle w:val="3"/>
        <w:spacing w:before="74"/>
      </w:pPr>
      <w:r>
        <w:rPr>
          <w:b w:val="0"/>
        </w:rPr>
        <w:br w:type="column"/>
      </w:r>
      <w:r>
        <w:rPr>
          <w:color w:val="BF5A14"/>
        </w:rPr>
        <w:t>Image</w:t>
      </w:r>
    </w:p>
    <w:p w:rsidR="002374FB" w:rsidRDefault="002374FB">
      <w:pPr>
        <w:pStyle w:val="a3"/>
        <w:spacing w:before="2"/>
        <w:rPr>
          <w:rFonts w:ascii="Arial"/>
          <w:b/>
          <w:sz w:val="16"/>
        </w:rPr>
      </w:pPr>
      <w:r>
        <w:rPr>
          <w:rFonts w:ascii="Arial"/>
          <w:b/>
          <w:noProof/>
          <w:sz w:val="16"/>
        </w:rPr>
        <w:drawing>
          <wp:inline distT="0" distB="0" distL="0" distR="0" wp14:anchorId="60639B43">
            <wp:extent cx="2838450" cy="1529029"/>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49990" cy="1589114"/>
                    </a:xfrm>
                    <a:prstGeom prst="rect">
                      <a:avLst/>
                    </a:prstGeom>
                    <a:noFill/>
                  </pic:spPr>
                </pic:pic>
              </a:graphicData>
            </a:graphic>
          </wp:inline>
        </w:drawing>
      </w:r>
    </w:p>
    <w:p w:rsidR="002374FB" w:rsidRDefault="002374FB">
      <w:pPr>
        <w:pStyle w:val="a3"/>
        <w:spacing w:before="2"/>
        <w:rPr>
          <w:rFonts w:ascii="Arial"/>
          <w:b/>
          <w:sz w:val="16"/>
        </w:rPr>
      </w:pPr>
    </w:p>
    <w:p w:rsidR="002374FB" w:rsidRPr="00500B2C" w:rsidRDefault="002374FB" w:rsidP="002374FB">
      <w:pPr>
        <w:jc w:val="both"/>
        <w:rPr>
          <w:rFonts w:ascii="Times New Roman" w:hAnsi="Times New Roman" w:cs="Times New Roman"/>
          <w:bCs/>
          <w:sz w:val="16"/>
          <w:szCs w:val="16"/>
        </w:rPr>
      </w:pPr>
      <w:r w:rsidRPr="00500B2C">
        <w:rPr>
          <w:rFonts w:ascii="Times New Roman" w:hAnsi="Times New Roman" w:cs="Times New Roman"/>
          <w:bCs/>
          <w:sz w:val="16"/>
          <w:szCs w:val="16"/>
        </w:rPr>
        <w:t>Figure 1: shows</w:t>
      </w:r>
      <w:r w:rsidRPr="00500B2C">
        <w:rPr>
          <w:rFonts w:ascii="Times New Roman" w:hAnsi="Times New Roman" w:cs="Times New Roman"/>
          <w:bCs/>
          <w:sz w:val="16"/>
          <w:szCs w:val="16"/>
        </w:rPr>
        <w:t xml:space="preserve"> distribution</w:t>
      </w:r>
      <w:r w:rsidRPr="00500B2C">
        <w:rPr>
          <w:rFonts w:ascii="Times New Roman" w:hAnsi="Times New Roman" w:cs="Times New Roman"/>
          <w:bCs/>
          <w:sz w:val="16"/>
          <w:szCs w:val="16"/>
        </w:rPr>
        <w:t xml:space="preserve"> of requested radiographic</w:t>
      </w:r>
      <w:r w:rsidRPr="00500B2C">
        <w:rPr>
          <w:rFonts w:ascii="Times New Roman" w:hAnsi="Times New Roman" w:cs="Times New Roman"/>
          <w:bCs/>
          <w:sz w:val="16"/>
          <w:szCs w:val="16"/>
        </w:rPr>
        <w:t xml:space="preserve"> based on gender</w:t>
      </w:r>
    </w:p>
    <w:p w:rsidR="002374FB" w:rsidRDefault="002374FB">
      <w:pPr>
        <w:pStyle w:val="a3"/>
        <w:spacing w:before="2"/>
        <w:rPr>
          <w:rFonts w:ascii="Arial"/>
          <w:b/>
          <w:sz w:val="16"/>
        </w:rPr>
      </w:pPr>
    </w:p>
    <w:p w:rsidR="002374FB" w:rsidRDefault="002374FB">
      <w:pPr>
        <w:pStyle w:val="a3"/>
        <w:spacing w:before="2"/>
        <w:rPr>
          <w:rFonts w:ascii="Arial"/>
          <w:b/>
          <w:sz w:val="16"/>
        </w:rPr>
      </w:pPr>
      <w:r w:rsidRPr="00B738F5">
        <w:rPr>
          <w:rFonts w:ascii="Times New Roman" w:hAnsi="Times New Roman" w:cs="Times New Roman"/>
          <w:noProof/>
          <w:sz w:val="20"/>
          <w:szCs w:val="20"/>
        </w:rPr>
        <w:drawing>
          <wp:inline distT="0" distB="0" distL="0" distR="0" wp14:anchorId="15E30836" wp14:editId="41BEAB27">
            <wp:extent cx="2838450" cy="1295400"/>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74FB" w:rsidRDefault="002374FB">
      <w:pPr>
        <w:pStyle w:val="a3"/>
        <w:spacing w:before="2"/>
        <w:rPr>
          <w:rFonts w:ascii="Arial"/>
          <w:b/>
          <w:sz w:val="16"/>
        </w:rPr>
      </w:pPr>
    </w:p>
    <w:p w:rsidR="002374FB" w:rsidRPr="00500B2C" w:rsidRDefault="002374FB" w:rsidP="002374FB">
      <w:pPr>
        <w:jc w:val="both"/>
        <w:rPr>
          <w:rFonts w:ascii="Times New Roman" w:hAnsi="Times New Roman" w:cs="Times New Roman"/>
          <w:bCs/>
          <w:sz w:val="16"/>
          <w:szCs w:val="16"/>
        </w:rPr>
      </w:pPr>
      <w:r w:rsidRPr="00500B2C">
        <w:rPr>
          <w:rFonts w:ascii="Times New Roman" w:hAnsi="Times New Roman" w:cs="Times New Roman"/>
          <w:bCs/>
          <w:sz w:val="16"/>
          <w:szCs w:val="16"/>
        </w:rPr>
        <w:t>Figure 2: shows the distribution of requested radiographic cases based on causes</w:t>
      </w:r>
    </w:p>
    <w:p w:rsidR="002374FB" w:rsidRDefault="002374FB">
      <w:pPr>
        <w:pStyle w:val="a3"/>
        <w:spacing w:before="2"/>
        <w:rPr>
          <w:rFonts w:ascii="Arial"/>
          <w:b/>
          <w:sz w:val="16"/>
        </w:rPr>
      </w:pPr>
    </w:p>
    <w:p w:rsidR="002374FB" w:rsidRDefault="002374FB">
      <w:pPr>
        <w:pStyle w:val="a3"/>
        <w:spacing w:before="2"/>
        <w:rPr>
          <w:rFonts w:ascii="Arial"/>
          <w:b/>
          <w:sz w:val="16"/>
        </w:rPr>
      </w:pPr>
      <w:r w:rsidRPr="00B738F5">
        <w:rPr>
          <w:rFonts w:ascii="Times New Roman" w:hAnsi="Times New Roman" w:cs="Times New Roman"/>
          <w:bCs/>
          <w:noProof/>
          <w:sz w:val="20"/>
          <w:szCs w:val="20"/>
        </w:rPr>
        <w:drawing>
          <wp:inline distT="0" distB="0" distL="0" distR="0" wp14:anchorId="2951D0E4" wp14:editId="42C79019">
            <wp:extent cx="2838450" cy="1285875"/>
            <wp:effectExtent l="0" t="0" r="0" b="9525"/>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3BF5" w:rsidRDefault="009F3BF5" w:rsidP="00500B2C">
      <w:pPr>
        <w:jc w:val="both"/>
        <w:rPr>
          <w:rFonts w:ascii="Times New Roman" w:hAnsi="Times New Roman" w:cs="Times New Roman"/>
          <w:bCs/>
          <w:sz w:val="16"/>
          <w:szCs w:val="16"/>
        </w:rPr>
      </w:pPr>
    </w:p>
    <w:p w:rsidR="00500B2C" w:rsidRDefault="00500B2C" w:rsidP="00500B2C">
      <w:pPr>
        <w:jc w:val="both"/>
        <w:rPr>
          <w:rFonts w:ascii="Times New Roman" w:hAnsi="Times New Roman" w:cs="Times New Roman"/>
          <w:bCs/>
          <w:sz w:val="16"/>
          <w:szCs w:val="16"/>
        </w:rPr>
      </w:pPr>
      <w:r w:rsidRPr="00500B2C">
        <w:rPr>
          <w:rFonts w:ascii="Times New Roman" w:hAnsi="Times New Roman" w:cs="Times New Roman"/>
          <w:bCs/>
          <w:sz w:val="16"/>
          <w:szCs w:val="16"/>
        </w:rPr>
        <w:t xml:space="preserve">Figure </w:t>
      </w:r>
      <w:r w:rsidRPr="00500B2C">
        <w:rPr>
          <w:rFonts w:ascii="Times New Roman" w:hAnsi="Times New Roman" w:cs="Times New Roman"/>
          <w:bCs/>
          <w:sz w:val="16"/>
          <w:szCs w:val="16"/>
        </w:rPr>
        <w:t>3</w:t>
      </w:r>
      <w:r w:rsidRPr="00500B2C">
        <w:rPr>
          <w:rFonts w:ascii="Times New Roman" w:hAnsi="Times New Roman" w:cs="Times New Roman"/>
          <w:bCs/>
          <w:sz w:val="16"/>
          <w:szCs w:val="16"/>
        </w:rPr>
        <w:t>: shows the average ESD in mGy &amp; EffD in mSv received by common anatomical site radiography</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8C3E7D" w:rsidRPr="008C3E7D" w:rsidRDefault="008C3E7D" w:rsidP="008C3E7D">
      <w:pPr>
        <w:pStyle w:val="a4"/>
        <w:widowControl/>
        <w:numPr>
          <w:ilvl w:val="0"/>
          <w:numId w:val="4"/>
        </w:numPr>
        <w:autoSpaceDE w:val="0"/>
        <w:autoSpaceDN w:val="0"/>
        <w:adjustRightInd w:val="0"/>
        <w:rPr>
          <w:rFonts w:asciiTheme="minorHAnsi" w:eastAsiaTheme="minorHAnsi" w:hAnsiTheme="minorHAnsi" w:cs="TimesNewRoman"/>
          <w:sz w:val="16"/>
          <w:szCs w:val="16"/>
        </w:rPr>
      </w:pPr>
      <w:r w:rsidRPr="008C3E7D">
        <w:rPr>
          <w:rFonts w:asciiTheme="minorHAnsi" w:eastAsiaTheme="minorHAnsi" w:hAnsiTheme="minorHAnsi" w:cs="TimesNewRoman"/>
          <w:sz w:val="16"/>
          <w:szCs w:val="16"/>
        </w:rPr>
        <w:t>Kristin B Lysdah and Bj</w:t>
      </w:r>
      <w:r w:rsidRPr="008C3E7D">
        <w:rPr>
          <w:rFonts w:asciiTheme="minorHAnsi" w:eastAsiaTheme="minorHAnsi" w:hAnsiTheme="minorHAnsi" w:cs="TimesNewRoman"/>
          <w:sz w:val="16"/>
          <w:szCs w:val="16"/>
          <w:rtl/>
        </w:rPr>
        <w:t>ّ</w:t>
      </w:r>
      <w:r w:rsidRPr="008C3E7D">
        <w:rPr>
          <w:rFonts w:asciiTheme="minorHAnsi" w:eastAsiaTheme="minorHAnsi" w:hAnsiTheme="minorHAnsi" w:cs="TimesNewRoman"/>
          <w:sz w:val="16"/>
          <w:szCs w:val="16"/>
        </w:rPr>
        <w:t>rn M Hofmann. (2009). What causes</w:t>
      </w:r>
      <w:r w:rsidRPr="008C3E7D">
        <w:rPr>
          <w:rFonts w:asciiTheme="minorHAnsi" w:eastAsiaTheme="minorHAnsi" w:hAnsiTheme="minorHAnsi" w:cs="TimesNewRoman"/>
          <w:sz w:val="16"/>
          <w:szCs w:val="16"/>
        </w:rPr>
        <w:t xml:space="preserve"> </w:t>
      </w:r>
      <w:r w:rsidRPr="008C3E7D">
        <w:rPr>
          <w:rFonts w:asciiTheme="minorHAnsi" w:eastAsiaTheme="minorHAnsi" w:hAnsiTheme="minorHAnsi" w:cs="TimesNewRoman"/>
          <w:sz w:val="16"/>
          <w:szCs w:val="16"/>
        </w:rPr>
        <w:t>increasing and unnecessary use of radiological investigations?</w:t>
      </w:r>
      <w:r w:rsidRPr="008C3E7D">
        <w:rPr>
          <w:rFonts w:asciiTheme="minorHAnsi" w:eastAsiaTheme="minorHAnsi" w:hAnsiTheme="minorHAnsi" w:cs="TimesNewRoman"/>
          <w:sz w:val="16"/>
          <w:szCs w:val="16"/>
        </w:rPr>
        <w:t xml:space="preserve"> </w:t>
      </w:r>
      <w:r w:rsidRPr="008C3E7D">
        <w:rPr>
          <w:rFonts w:asciiTheme="minorHAnsi" w:eastAsiaTheme="minorHAnsi" w:hAnsiTheme="minorHAnsi" w:cs="TimesNewRoman"/>
          <w:sz w:val="16"/>
          <w:szCs w:val="16"/>
        </w:rPr>
        <w:t>A survey of radiologists' perceptions. BMC Health Services</w:t>
      </w:r>
      <w:r w:rsidRPr="008C3E7D">
        <w:rPr>
          <w:rFonts w:asciiTheme="minorHAnsi" w:eastAsiaTheme="minorHAnsi" w:hAnsiTheme="minorHAnsi" w:cs="TimesNewRoman"/>
          <w:sz w:val="16"/>
          <w:szCs w:val="16"/>
        </w:rPr>
        <w:t xml:space="preserve"> </w:t>
      </w:r>
      <w:r w:rsidRPr="008C3E7D">
        <w:rPr>
          <w:rFonts w:asciiTheme="minorHAnsi" w:eastAsiaTheme="minorHAnsi" w:hAnsiTheme="minorHAnsi" w:cs="TimesNewRoman"/>
          <w:sz w:val="16"/>
          <w:szCs w:val="16"/>
        </w:rPr>
        <w:t>Research, 9:155. doi: 10.1186/1472-6963-9-155.</w:t>
      </w:r>
    </w:p>
    <w:p w:rsidR="008C3E7D" w:rsidRPr="008C3E7D" w:rsidRDefault="008C3E7D" w:rsidP="008C3E7D">
      <w:pPr>
        <w:pStyle w:val="a4"/>
        <w:widowControl/>
        <w:numPr>
          <w:ilvl w:val="0"/>
          <w:numId w:val="4"/>
        </w:numPr>
        <w:autoSpaceDE w:val="0"/>
        <w:autoSpaceDN w:val="0"/>
        <w:adjustRightInd w:val="0"/>
        <w:rPr>
          <w:rFonts w:asciiTheme="minorHAnsi" w:eastAsiaTheme="minorHAnsi" w:hAnsiTheme="minorHAnsi" w:cs="TimesNewRoman"/>
          <w:sz w:val="16"/>
          <w:szCs w:val="16"/>
        </w:rPr>
      </w:pPr>
      <w:r w:rsidRPr="008C3E7D">
        <w:rPr>
          <w:rFonts w:asciiTheme="minorHAnsi" w:eastAsiaTheme="minorHAnsi" w:hAnsiTheme="minorHAnsi" w:cs="TimesNewRoman"/>
          <w:sz w:val="16"/>
          <w:szCs w:val="16"/>
        </w:rPr>
        <w:t>United Nations Scientific Committee on the Effects of Atomic</w:t>
      </w:r>
      <w:r w:rsidRPr="008C3E7D">
        <w:rPr>
          <w:rFonts w:asciiTheme="minorHAnsi" w:eastAsiaTheme="minorHAnsi" w:hAnsiTheme="minorHAnsi" w:cs="TimesNewRoman"/>
          <w:sz w:val="16"/>
          <w:szCs w:val="16"/>
        </w:rPr>
        <w:t xml:space="preserve"> </w:t>
      </w:r>
      <w:r w:rsidRPr="008C3E7D">
        <w:rPr>
          <w:rFonts w:asciiTheme="minorHAnsi" w:eastAsiaTheme="minorHAnsi" w:hAnsiTheme="minorHAnsi" w:cs="TimesNewRoman"/>
          <w:sz w:val="16"/>
          <w:szCs w:val="16"/>
        </w:rPr>
        <w:t>Radiation. (2000). Sources and effects of ionizing radiation:</w:t>
      </w:r>
      <w:r w:rsidRPr="008C3E7D">
        <w:rPr>
          <w:rFonts w:asciiTheme="minorHAnsi" w:eastAsiaTheme="minorHAnsi" w:hAnsiTheme="minorHAnsi" w:cs="TimesNewRoman"/>
          <w:sz w:val="16"/>
          <w:szCs w:val="16"/>
        </w:rPr>
        <w:t xml:space="preserve"> </w:t>
      </w:r>
      <w:r w:rsidRPr="008C3E7D">
        <w:rPr>
          <w:rFonts w:asciiTheme="minorHAnsi" w:eastAsiaTheme="minorHAnsi" w:hAnsiTheme="minorHAnsi" w:cs="TimesNewRoman"/>
          <w:sz w:val="16"/>
          <w:szCs w:val="16"/>
        </w:rPr>
        <w:t>report to the General Assembly, annex D, medical radiation</w:t>
      </w:r>
    </w:p>
    <w:p w:rsidR="008C3E7D" w:rsidRPr="008C3E7D" w:rsidRDefault="008C3E7D" w:rsidP="008C3E7D">
      <w:pPr>
        <w:pStyle w:val="a4"/>
        <w:numPr>
          <w:ilvl w:val="0"/>
          <w:numId w:val="4"/>
        </w:numPr>
        <w:rPr>
          <w:rFonts w:asciiTheme="minorHAnsi" w:hAnsiTheme="minorHAnsi" w:cs="Times New Roman"/>
          <w:color w:val="000000" w:themeColor="text1"/>
          <w:sz w:val="16"/>
          <w:szCs w:val="16"/>
          <w:shd w:val="clear" w:color="auto" w:fill="FFFFFF"/>
        </w:rPr>
      </w:pPr>
      <w:r w:rsidRPr="008C3E7D">
        <w:rPr>
          <w:rFonts w:asciiTheme="minorHAnsi" w:hAnsiTheme="minorHAnsi" w:cs="Times New Roman"/>
          <w:color w:val="000000" w:themeColor="text1"/>
          <w:sz w:val="16"/>
          <w:szCs w:val="16"/>
          <w:shd w:val="clear" w:color="auto" w:fill="FFFFFF"/>
        </w:rPr>
        <w:t>ICRP. (1991). Recommendations of the ICRP publication 60, Annals of ICRP, Pergamon Press, Oxford.</w:t>
      </w:r>
    </w:p>
    <w:p w:rsidR="008C3E7D" w:rsidRPr="008C3E7D" w:rsidRDefault="008C3E7D" w:rsidP="008C3E7D">
      <w:pPr>
        <w:pStyle w:val="a4"/>
        <w:numPr>
          <w:ilvl w:val="0"/>
          <w:numId w:val="4"/>
        </w:numPr>
        <w:autoSpaceDE w:val="0"/>
        <w:autoSpaceDN w:val="0"/>
        <w:adjustRightInd w:val="0"/>
        <w:rPr>
          <w:rFonts w:asciiTheme="minorHAnsi" w:hAnsiTheme="minorHAnsi" w:cs="Times New Roman"/>
          <w:color w:val="000000" w:themeColor="text1"/>
          <w:sz w:val="16"/>
          <w:szCs w:val="16"/>
          <w:shd w:val="clear" w:color="auto" w:fill="FFFFFF"/>
        </w:rPr>
      </w:pPr>
      <w:r w:rsidRPr="008C3E7D">
        <w:rPr>
          <w:rFonts w:asciiTheme="minorHAnsi" w:hAnsiTheme="minorHAnsi" w:cs="Times New Roman"/>
          <w:color w:val="000000" w:themeColor="text1"/>
          <w:sz w:val="16"/>
          <w:szCs w:val="16"/>
          <w:shd w:val="clear" w:color="auto" w:fill="FFFFFF"/>
        </w:rPr>
        <w:t>Fisher ES, Welch HG. (1999). Avoiding the unintended consequences of growth in medical care: how might more be worse? JAMA, 281:446-453.</w:t>
      </w:r>
    </w:p>
    <w:p w:rsidR="008C3E7D" w:rsidRPr="008C3E7D" w:rsidRDefault="008C3E7D" w:rsidP="008C3E7D">
      <w:pPr>
        <w:pStyle w:val="a4"/>
        <w:numPr>
          <w:ilvl w:val="0"/>
          <w:numId w:val="4"/>
        </w:numPr>
        <w:autoSpaceDE w:val="0"/>
        <w:autoSpaceDN w:val="0"/>
        <w:adjustRightInd w:val="0"/>
        <w:rPr>
          <w:rFonts w:asciiTheme="minorHAnsi" w:hAnsiTheme="minorHAnsi" w:cs="Times New Roman"/>
          <w:color w:val="000000" w:themeColor="text1"/>
          <w:sz w:val="16"/>
          <w:szCs w:val="16"/>
          <w:shd w:val="clear" w:color="auto" w:fill="FFFFFF"/>
        </w:rPr>
      </w:pPr>
      <w:r w:rsidRPr="008C3E7D">
        <w:rPr>
          <w:rFonts w:asciiTheme="minorHAnsi" w:hAnsiTheme="minorHAnsi" w:cs="Times New Roman"/>
          <w:color w:val="000000" w:themeColor="text1"/>
          <w:sz w:val="16"/>
          <w:szCs w:val="16"/>
          <w:shd w:val="clear" w:color="auto" w:fill="FFFFFF"/>
        </w:rPr>
        <w:t>Otero HJ, Ondategui-Parra S, Nathanson EM, Erturk SM, Ros PR: (2006). Utilization management in radiology: basic concepts and applications. J Am Coll Radiol, 3:351-357.</w:t>
      </w:r>
    </w:p>
    <w:p w:rsidR="00AE3E37" w:rsidRPr="008C3E7D" w:rsidRDefault="00AE3E37" w:rsidP="008756E6">
      <w:pPr>
        <w:tabs>
          <w:tab w:val="left" w:pos="384"/>
        </w:tabs>
        <w:ind w:right="117"/>
        <w:rPr>
          <w:rFonts w:asciiTheme="minorHAnsi" w:hAnsiTheme="minorHAnsi"/>
          <w:sz w:val="16"/>
          <w:szCs w:val="16"/>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FE0489" w:rsidRDefault="00292ED9" w:rsidP="00FE048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D9C4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A9710C" w:rsidP="00FE0489">
      <w:pPr>
        <w:spacing w:before="39"/>
        <w:ind w:left="100"/>
        <w:rPr>
          <w:rFonts w:ascii="Minion Pro"/>
          <w:sz w:val="26"/>
        </w:rPr>
      </w:pPr>
      <w:r w:rsidRPr="00B21A57">
        <w:rPr>
          <w:rFonts w:ascii="Minion Pro"/>
          <w:b/>
          <w:sz w:val="20"/>
        </w:rPr>
        <w:t>Notes/Comments:</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366" w:rsidRDefault="00903366">
      <w:r>
        <w:separator/>
      </w:r>
    </w:p>
  </w:endnote>
  <w:endnote w:type="continuationSeparator" w:id="0">
    <w:p w:rsidR="00903366" w:rsidRDefault="0090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lpsrlGiovanni-Book">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366" w:rsidRDefault="00903366">
      <w:r>
        <w:separator/>
      </w:r>
    </w:p>
  </w:footnote>
  <w:footnote w:type="continuationSeparator" w:id="0">
    <w:p w:rsidR="00903366" w:rsidRDefault="0090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9A0214E"/>
    <w:multiLevelType w:val="hybridMultilevel"/>
    <w:tmpl w:val="34900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42C6"/>
    <w:rsid w:val="00065718"/>
    <w:rsid w:val="000E2911"/>
    <w:rsid w:val="001263DF"/>
    <w:rsid w:val="001A4B1A"/>
    <w:rsid w:val="002220FB"/>
    <w:rsid w:val="002374FB"/>
    <w:rsid w:val="00292ED9"/>
    <w:rsid w:val="00404E5B"/>
    <w:rsid w:val="00414F7B"/>
    <w:rsid w:val="004355DC"/>
    <w:rsid w:val="004749B4"/>
    <w:rsid w:val="00494130"/>
    <w:rsid w:val="004F3523"/>
    <w:rsid w:val="00500B2C"/>
    <w:rsid w:val="005973B9"/>
    <w:rsid w:val="005B3A56"/>
    <w:rsid w:val="006060CE"/>
    <w:rsid w:val="0063497F"/>
    <w:rsid w:val="006563B0"/>
    <w:rsid w:val="006910C5"/>
    <w:rsid w:val="00827B1F"/>
    <w:rsid w:val="00873DF0"/>
    <w:rsid w:val="008756E6"/>
    <w:rsid w:val="008C3E7D"/>
    <w:rsid w:val="00903366"/>
    <w:rsid w:val="009B2D44"/>
    <w:rsid w:val="009F3BF5"/>
    <w:rsid w:val="00A07E82"/>
    <w:rsid w:val="00A46C97"/>
    <w:rsid w:val="00A9710C"/>
    <w:rsid w:val="00AA48DC"/>
    <w:rsid w:val="00AE3E37"/>
    <w:rsid w:val="00B21A57"/>
    <w:rsid w:val="00C33602"/>
    <w:rsid w:val="00CC00DB"/>
    <w:rsid w:val="00CD6F55"/>
    <w:rsid w:val="00D97CC5"/>
    <w:rsid w:val="00DE3104"/>
    <w:rsid w:val="00E029EB"/>
    <w:rsid w:val="00F22EA3"/>
    <w:rsid w:val="00F463F8"/>
    <w:rsid w:val="00F72EEA"/>
    <w:rsid w:val="00F84CAE"/>
    <w:rsid w:val="00FE048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0FA992-A70F-4986-B169-A8C53A223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character" w:styleId="a8">
    <w:name w:val="annotation reference"/>
    <w:basedOn w:val="a0"/>
    <w:uiPriority w:val="99"/>
    <w:semiHidden/>
    <w:unhideWhenUsed/>
    <w:rsid w:val="006563B0"/>
    <w:rPr>
      <w:sz w:val="16"/>
      <w:szCs w:val="16"/>
    </w:rPr>
  </w:style>
  <w:style w:type="paragraph" w:styleId="a9">
    <w:name w:val="annotation text"/>
    <w:basedOn w:val="a"/>
    <w:link w:val="Char3"/>
    <w:uiPriority w:val="99"/>
    <w:semiHidden/>
    <w:unhideWhenUsed/>
    <w:rsid w:val="006563B0"/>
    <w:pPr>
      <w:widowControl/>
      <w:bidi/>
      <w:spacing w:after="200"/>
    </w:pPr>
    <w:rPr>
      <w:rFonts w:asciiTheme="minorHAnsi" w:eastAsiaTheme="minorEastAsia" w:hAnsiTheme="minorHAnsi" w:cstheme="minorBidi"/>
      <w:sz w:val="20"/>
      <w:szCs w:val="20"/>
    </w:rPr>
  </w:style>
  <w:style w:type="character" w:customStyle="1" w:styleId="Char3">
    <w:name w:val="نص تعليق Char"/>
    <w:basedOn w:val="a0"/>
    <w:link w:val="a9"/>
    <w:uiPriority w:val="99"/>
    <w:semiHidden/>
    <w:rsid w:val="006563B0"/>
    <w:rPr>
      <w:rFonts w:eastAsiaTheme="minorEastAsia"/>
      <w:sz w:val="20"/>
      <w:szCs w:val="20"/>
    </w:rPr>
  </w:style>
  <w:style w:type="paragraph" w:styleId="aa">
    <w:name w:val="annotation subject"/>
    <w:basedOn w:val="a9"/>
    <w:next w:val="a9"/>
    <w:link w:val="Char4"/>
    <w:uiPriority w:val="99"/>
    <w:semiHidden/>
    <w:unhideWhenUsed/>
    <w:rsid w:val="006563B0"/>
    <w:pPr>
      <w:widowControl w:val="0"/>
      <w:bidi w:val="0"/>
      <w:spacing w:after="0"/>
    </w:pPr>
    <w:rPr>
      <w:rFonts w:ascii="Tw Cen MT" w:eastAsia="Tw Cen MT" w:hAnsi="Tw Cen MT" w:cs="Tw Cen MT"/>
      <w:b/>
      <w:bCs/>
    </w:rPr>
  </w:style>
  <w:style w:type="character" w:customStyle="1" w:styleId="Char4">
    <w:name w:val="موضوع تعليق Char"/>
    <w:basedOn w:val="Char3"/>
    <w:link w:val="aa"/>
    <w:uiPriority w:val="99"/>
    <w:semiHidden/>
    <w:rsid w:val="006563B0"/>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754396325459316"/>
          <c:y val="5.1400554097404488E-2"/>
          <c:w val="0.84044291338582677"/>
          <c:h val="0.73539734616506269"/>
        </c:manualLayout>
      </c:layout>
      <c:bar3DChart>
        <c:barDir val="col"/>
        <c:grouping val="clustered"/>
        <c:varyColors val="0"/>
        <c:ser>
          <c:idx val="0"/>
          <c:order val="0"/>
          <c:tx>
            <c:strRef>
              <c:f>Sheet1!$R$1</c:f>
              <c:strCache>
                <c:ptCount val="1"/>
                <c:pt idx="0">
                  <c:v>Freq %Mal</c:v>
                </c:pt>
              </c:strCache>
            </c:strRef>
          </c:tx>
          <c:spPr>
            <a:solidFill>
              <a:schemeClr val="tx1">
                <a:lumMod val="50000"/>
                <a:lumOff val="50000"/>
              </a:schemeClr>
            </a:solidFill>
            <a:scene3d>
              <a:camera prst="orthographicFront"/>
              <a:lightRig rig="threePt" dir="t"/>
            </a:scene3d>
            <a:sp3d prstMaterial="dkEdge">
              <a:bevelT prst="angle"/>
              <a:bevelB prst="angle"/>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Sheet1!$Q$2:$Q$4</c:f>
              <c:strCache>
                <c:ptCount val="3"/>
                <c:pt idx="0">
                  <c:v>Others</c:v>
                </c:pt>
                <c:pt idx="1">
                  <c:v>T. Accin</c:v>
                </c:pt>
                <c:pt idx="2">
                  <c:v>Fall Dw</c:v>
                </c:pt>
              </c:strCache>
            </c:strRef>
          </c:cat>
          <c:val>
            <c:numRef>
              <c:f>Sheet1!$R$2:$R$4</c:f>
              <c:numCache>
                <c:formatCode>General</c:formatCode>
                <c:ptCount val="3"/>
                <c:pt idx="0">
                  <c:v>15</c:v>
                </c:pt>
                <c:pt idx="1">
                  <c:v>71</c:v>
                </c:pt>
                <c:pt idx="2">
                  <c:v>14</c:v>
                </c:pt>
              </c:numCache>
            </c:numRef>
          </c:val>
        </c:ser>
        <c:ser>
          <c:idx val="1"/>
          <c:order val="1"/>
          <c:tx>
            <c:strRef>
              <c:f>Sheet1!$S$1</c:f>
              <c:strCache>
                <c:ptCount val="1"/>
                <c:pt idx="0">
                  <c:v>Freq % Fem</c:v>
                </c:pt>
              </c:strCache>
            </c:strRef>
          </c:tx>
          <c:spPr>
            <a:solidFill>
              <a:schemeClr val="bg1">
                <a:lumMod val="85000"/>
              </a:schemeClr>
            </a:solidFill>
            <a:scene3d>
              <a:camera prst="orthographicFront"/>
              <a:lightRig rig="threePt" dir="t"/>
            </a:scene3d>
            <a:sp3d prstMaterial="dkEdge">
              <a:bevelT prst="angle"/>
              <a:bevelB prst="angle"/>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Sheet1!$Q$2:$Q$4</c:f>
              <c:strCache>
                <c:ptCount val="3"/>
                <c:pt idx="0">
                  <c:v>Others</c:v>
                </c:pt>
                <c:pt idx="1">
                  <c:v>T. Accin</c:v>
                </c:pt>
                <c:pt idx="2">
                  <c:v>Fall Dw</c:v>
                </c:pt>
              </c:strCache>
            </c:strRef>
          </c:cat>
          <c:val>
            <c:numRef>
              <c:f>Sheet1!$S$2:$S$4</c:f>
              <c:numCache>
                <c:formatCode>General</c:formatCode>
                <c:ptCount val="3"/>
                <c:pt idx="0">
                  <c:v>20</c:v>
                </c:pt>
                <c:pt idx="1">
                  <c:v>35</c:v>
                </c:pt>
                <c:pt idx="2">
                  <c:v>45</c:v>
                </c:pt>
              </c:numCache>
            </c:numRef>
          </c:val>
        </c:ser>
        <c:dLbls>
          <c:showLegendKey val="0"/>
          <c:showVal val="0"/>
          <c:showCatName val="0"/>
          <c:showSerName val="0"/>
          <c:showPercent val="0"/>
          <c:showBubbleSize val="0"/>
        </c:dLbls>
        <c:gapWidth val="150"/>
        <c:shape val="cylinder"/>
        <c:axId val="307071680"/>
        <c:axId val="307077280"/>
        <c:axId val="0"/>
      </c:bar3DChart>
      <c:catAx>
        <c:axId val="307071680"/>
        <c:scaling>
          <c:orientation val="minMax"/>
        </c:scaling>
        <c:delete val="0"/>
        <c:axPos val="b"/>
        <c:title>
          <c:tx>
            <c:rich>
              <a:bodyPr/>
              <a:lstStyle/>
              <a:p>
                <a:pPr>
                  <a:defRPr/>
                </a:pPr>
                <a:r>
                  <a:rPr lang="en-US"/>
                  <a:t>Causative factor</a:t>
                </a:r>
              </a:p>
            </c:rich>
          </c:tx>
          <c:layout>
            <c:manualLayout>
              <c:xMode val="edge"/>
              <c:yMode val="edge"/>
              <c:x val="0.43565748031496065"/>
              <c:y val="0.8857440215806357"/>
            </c:manualLayout>
          </c:layout>
          <c:overlay val="0"/>
        </c:title>
        <c:numFmt formatCode="General" sourceLinked="0"/>
        <c:majorTickMark val="out"/>
        <c:minorTickMark val="none"/>
        <c:tickLblPos val="nextTo"/>
        <c:crossAx val="307077280"/>
        <c:crosses val="autoZero"/>
        <c:auto val="1"/>
        <c:lblAlgn val="ctr"/>
        <c:lblOffset val="100"/>
        <c:noMultiLvlLbl val="0"/>
      </c:catAx>
      <c:valAx>
        <c:axId val="307077280"/>
        <c:scaling>
          <c:orientation val="minMax"/>
        </c:scaling>
        <c:delete val="0"/>
        <c:axPos val="l"/>
        <c:title>
          <c:tx>
            <c:rich>
              <a:bodyPr rot="-5400000" vert="horz"/>
              <a:lstStyle/>
              <a:p>
                <a:pPr>
                  <a:defRPr/>
                </a:pPr>
                <a:r>
                  <a:rPr lang="en-US"/>
                  <a:t>Frequency %</a:t>
                </a:r>
              </a:p>
            </c:rich>
          </c:tx>
          <c:layout>
            <c:manualLayout>
              <c:xMode val="edge"/>
              <c:yMode val="edge"/>
              <c:x val="2.3493954736388174E-2"/>
              <c:y val="0.27879740510342821"/>
            </c:manualLayout>
          </c:layout>
          <c:overlay val="0"/>
        </c:title>
        <c:numFmt formatCode="General" sourceLinked="1"/>
        <c:majorTickMark val="out"/>
        <c:minorTickMark val="none"/>
        <c:tickLblPos val="nextTo"/>
        <c:crossAx val="307071680"/>
        <c:crosses val="autoZero"/>
        <c:crossBetween val="between"/>
      </c:valAx>
    </c:plotArea>
    <c:legend>
      <c:legendPos val="r"/>
      <c:layout>
        <c:manualLayout>
          <c:xMode val="edge"/>
          <c:yMode val="edge"/>
          <c:x val="0.69860368270331608"/>
          <c:y val="7.369021580635754E-2"/>
          <c:w val="0.21285980331296761"/>
          <c:h val="0.16524125377497689"/>
        </c:manualLayout>
      </c:layout>
      <c:overlay val="0"/>
    </c:legend>
    <c:plotVisOnly val="1"/>
    <c:dispBlanksAs val="gap"/>
    <c:showDLblsOverMax val="0"/>
  </c:chart>
  <c:txPr>
    <a:bodyPr/>
    <a:lstStyle/>
    <a:p>
      <a:pPr>
        <a:defRPr sz="800">
          <a:latin typeface="Times New Roman" pitchFamily="18" charset="0"/>
          <a:cs typeface="Times New Roman" pitchFamily="18" charset="0"/>
        </a:defRPr>
      </a:pPr>
      <a:endParaRPr lang="ar-S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3872440944881889"/>
          <c:y val="5.1400554097404488E-2"/>
          <c:w val="0.82033245844269453"/>
          <c:h val="0.71075301458477391"/>
        </c:manualLayout>
      </c:layout>
      <c:bar3DChart>
        <c:barDir val="col"/>
        <c:grouping val="clustered"/>
        <c:varyColors val="0"/>
        <c:ser>
          <c:idx val="0"/>
          <c:order val="0"/>
          <c:tx>
            <c:strRef>
              <c:f>ورقة1!$Z$17</c:f>
              <c:strCache>
                <c:ptCount val="1"/>
                <c:pt idx="0">
                  <c:v>ESD mGy</c:v>
                </c:pt>
              </c:strCache>
            </c:strRef>
          </c:tx>
          <c:spPr>
            <a:solidFill>
              <a:schemeClr val="bg1">
                <a:lumMod val="50000"/>
              </a:schemeClr>
            </a:solidFill>
            <a:scene3d>
              <a:camera prst="orthographicFront"/>
              <a:lightRig rig="threePt" dir="t"/>
            </a:scene3d>
            <a:sp3d prstMaterial="dkEdge">
              <a:bevelT prst="angle"/>
              <a:bevelB prst="angle"/>
            </a:sp3d>
          </c:spPr>
          <c:invertIfNegative val="0"/>
          <c:dLbls>
            <c:dLbl>
              <c:idx val="0"/>
              <c:layout>
                <c:manualLayout>
                  <c:x val="1.1111111111111122E-2"/>
                  <c:y val="0.1296296296296293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111111111111122E-2"/>
                  <c:y val="0.1296296296296294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2860082304526749E-2"/>
                  <c:y val="8.95415402633367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solidFill>
                      <a:schemeClr val="bg1"/>
                    </a:solidFill>
                  </a:defRPr>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ورقة1!$Y$18:$Y$20</c:f>
              <c:strCache>
                <c:ptCount val="3"/>
                <c:pt idx="0">
                  <c:v>Skull</c:v>
                </c:pt>
                <c:pt idx="1">
                  <c:v>Abdm</c:v>
                </c:pt>
                <c:pt idx="2">
                  <c:v>CXR</c:v>
                </c:pt>
              </c:strCache>
            </c:strRef>
          </c:cat>
          <c:val>
            <c:numRef>
              <c:f>ورقة1!$Z$18:$Z$20</c:f>
              <c:numCache>
                <c:formatCode>General</c:formatCode>
                <c:ptCount val="3"/>
                <c:pt idx="0">
                  <c:v>1.53</c:v>
                </c:pt>
                <c:pt idx="1">
                  <c:v>1.9300000000000002</c:v>
                </c:pt>
                <c:pt idx="2">
                  <c:v>0.21000000000000002</c:v>
                </c:pt>
              </c:numCache>
            </c:numRef>
          </c:val>
        </c:ser>
        <c:ser>
          <c:idx val="1"/>
          <c:order val="1"/>
          <c:tx>
            <c:strRef>
              <c:f>ورقة1!$AA$17</c:f>
              <c:strCache>
                <c:ptCount val="1"/>
                <c:pt idx="0">
                  <c:v>Eff D mSv</c:v>
                </c:pt>
              </c:strCache>
            </c:strRef>
          </c:tx>
          <c:spPr>
            <a:solidFill>
              <a:schemeClr val="bg1">
                <a:lumMod val="85000"/>
              </a:schemeClr>
            </a:solidFill>
            <a:scene3d>
              <a:camera prst="orthographicFront"/>
              <a:lightRig rig="threePt" dir="t"/>
            </a:scene3d>
            <a:sp3d prstMaterial="dkEdge">
              <a:bevelT prst="angle"/>
              <a:bevelB prst="angle"/>
            </a:sp3d>
          </c:spPr>
          <c:invertIfNegative val="0"/>
          <c:dPt>
            <c:idx val="0"/>
            <c:invertIfNegative val="0"/>
            <c:bubble3D val="0"/>
            <c:spPr>
              <a:solidFill>
                <a:schemeClr val="bg1">
                  <a:lumMod val="85000"/>
                </a:schemeClr>
              </a:solidFill>
              <a:scene3d>
                <a:camera prst="orthographicFront"/>
                <a:lightRig rig="threePt" dir="t"/>
              </a:scene3d>
              <a:sp3d prstMaterial="softEdge">
                <a:bevelT prst="angle"/>
                <a:bevelB prst="angle"/>
              </a:sp3d>
            </c:spPr>
          </c:dPt>
          <c:dLbls>
            <c:dLbl>
              <c:idx val="0"/>
              <c:layout>
                <c:manualLayout>
                  <c:x val="1.9444444444444445E-2"/>
                  <c:y val="-9.2592592592591824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9444444444444445E-2"/>
                  <c:y val="-8.4875562720133702E-17"/>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9444444444444358E-2"/>
                  <c:y val="0.10648148148148166"/>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ar-S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ورقة1!$Y$18:$Y$20</c:f>
              <c:strCache>
                <c:ptCount val="3"/>
                <c:pt idx="0">
                  <c:v>Skull</c:v>
                </c:pt>
                <c:pt idx="1">
                  <c:v>Abdm</c:v>
                </c:pt>
                <c:pt idx="2">
                  <c:v>CXR</c:v>
                </c:pt>
              </c:strCache>
            </c:strRef>
          </c:cat>
          <c:val>
            <c:numRef>
              <c:f>ورقة1!$AA$18:$AA$20</c:f>
              <c:numCache>
                <c:formatCode>General</c:formatCode>
                <c:ptCount val="3"/>
                <c:pt idx="0">
                  <c:v>0.1</c:v>
                </c:pt>
                <c:pt idx="1">
                  <c:v>0.24000000000000002</c:v>
                </c:pt>
                <c:pt idx="2">
                  <c:v>0.4</c:v>
                </c:pt>
              </c:numCache>
            </c:numRef>
          </c:val>
        </c:ser>
        <c:dLbls>
          <c:showLegendKey val="0"/>
          <c:showVal val="0"/>
          <c:showCatName val="0"/>
          <c:showSerName val="0"/>
          <c:showPercent val="0"/>
          <c:showBubbleSize val="0"/>
        </c:dLbls>
        <c:gapWidth val="100"/>
        <c:shape val="cylinder"/>
        <c:axId val="307072800"/>
        <c:axId val="307076160"/>
        <c:axId val="0"/>
      </c:bar3DChart>
      <c:catAx>
        <c:axId val="307072800"/>
        <c:scaling>
          <c:orientation val="minMax"/>
        </c:scaling>
        <c:delete val="0"/>
        <c:axPos val="b"/>
        <c:title>
          <c:tx>
            <c:rich>
              <a:bodyPr/>
              <a:lstStyle/>
              <a:p>
                <a:pPr>
                  <a:defRPr/>
                </a:pPr>
                <a:r>
                  <a:rPr lang="en-US"/>
                  <a:t>Radiograph</a:t>
                </a:r>
              </a:p>
            </c:rich>
          </c:tx>
          <c:layout>
            <c:manualLayout>
              <c:xMode val="edge"/>
              <c:yMode val="edge"/>
              <c:x val="0.38614726110625058"/>
              <c:y val="0.86869393191522704"/>
            </c:manualLayout>
          </c:layout>
          <c:overlay val="0"/>
        </c:title>
        <c:numFmt formatCode="General" sourceLinked="0"/>
        <c:majorTickMark val="out"/>
        <c:minorTickMark val="out"/>
        <c:tickLblPos val="nextTo"/>
        <c:crossAx val="307076160"/>
        <c:crossesAt val="0.1"/>
        <c:auto val="1"/>
        <c:lblAlgn val="ctr"/>
        <c:lblOffset val="100"/>
        <c:noMultiLvlLbl val="0"/>
      </c:catAx>
      <c:valAx>
        <c:axId val="307076160"/>
        <c:scaling>
          <c:logBase val="2"/>
          <c:orientation val="minMax"/>
          <c:min val="0.1"/>
        </c:scaling>
        <c:delete val="0"/>
        <c:axPos val="l"/>
        <c:title>
          <c:tx>
            <c:rich>
              <a:bodyPr rot="-5400000" vert="horz"/>
              <a:lstStyle/>
              <a:p>
                <a:pPr>
                  <a:defRPr/>
                </a:pPr>
                <a:r>
                  <a:rPr lang="en-US"/>
                  <a:t>Ln Relative Dose (mGy)</a:t>
                </a:r>
              </a:p>
            </c:rich>
          </c:tx>
          <c:layout>
            <c:manualLayout>
              <c:xMode val="edge"/>
              <c:yMode val="edge"/>
              <c:x val="2.4470357003985616E-2"/>
              <c:y val="0.27268970110079521"/>
            </c:manualLayout>
          </c:layout>
          <c:overlay val="0"/>
        </c:title>
        <c:numFmt formatCode="General" sourceLinked="1"/>
        <c:majorTickMark val="out"/>
        <c:minorTickMark val="none"/>
        <c:tickLblPos val="nextTo"/>
        <c:crossAx val="307072800"/>
        <c:crosses val="autoZero"/>
        <c:crossBetween val="between"/>
        <c:majorUnit val="0.4"/>
      </c:valAx>
    </c:plotArea>
    <c:legend>
      <c:legendPos val="r"/>
      <c:layout>
        <c:manualLayout>
          <c:xMode val="edge"/>
          <c:yMode val="edge"/>
          <c:x val="0.68316067953138482"/>
          <c:y val="0.12338244539278222"/>
          <c:w val="0.2437745776947165"/>
          <c:h val="0.1555519431038862"/>
        </c:manualLayout>
      </c:layout>
      <c:overlay val="0"/>
    </c:legend>
    <c:plotVisOnly val="1"/>
    <c:dispBlanksAs val="gap"/>
    <c:showDLblsOverMax val="0"/>
  </c:chart>
  <c:txPr>
    <a:bodyPr/>
    <a:lstStyle/>
    <a:p>
      <a:pPr>
        <a:defRPr sz="800">
          <a:latin typeface="Times New Roman" pitchFamily="18" charset="0"/>
          <a:cs typeface="Times New Roman" pitchFamily="18" charset="0"/>
        </a:defRPr>
      </a:pPr>
      <a:endParaRPr lang="ar-SA"/>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D1313-3CD0-4E19-A732-3D03F1813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3321</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2017-05-03T15:14:00Z</dcterms:created>
  <dcterms:modified xsi:type="dcterms:W3CDTF">2017-05-03T15:14:00Z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