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5D6" w:rsidRDefault="001B15F6" w:rsidP="001B15F6">
      <w:pPr>
        <w:jc w:val="center"/>
        <w:rPr>
          <w:b/>
          <w:sz w:val="44"/>
          <w:szCs w:val="44"/>
        </w:rPr>
      </w:pPr>
      <w:r w:rsidRPr="001B15F6">
        <w:rPr>
          <w:b/>
          <w:sz w:val="44"/>
          <w:szCs w:val="44"/>
        </w:rPr>
        <w:t>INVASIVE MUCORMYCOSIS</w:t>
      </w:r>
    </w:p>
    <w:p w:rsidR="001B15F6" w:rsidRDefault="001B15F6" w:rsidP="002D0217">
      <w:pPr>
        <w:jc w:val="both"/>
        <w:rPr>
          <w:b/>
          <w:sz w:val="32"/>
          <w:szCs w:val="32"/>
        </w:rPr>
      </w:pPr>
      <w:r>
        <w:rPr>
          <w:b/>
          <w:sz w:val="32"/>
          <w:szCs w:val="32"/>
        </w:rPr>
        <w:t>Abstract</w:t>
      </w:r>
    </w:p>
    <w:p w:rsidR="001D1824" w:rsidRDefault="001B15F6" w:rsidP="002D0217">
      <w:pPr>
        <w:jc w:val="both"/>
      </w:pPr>
      <w:r>
        <w:t>A case of mucormycosis presenting primarily as a subcutaneous mass on the right ankle joint in an immunocompetent individual is described.</w:t>
      </w:r>
      <w:r w:rsidR="001D1824">
        <w:t xml:space="preserve"> The patient went on to have an X ray and MRI and ultimately a h</w:t>
      </w:r>
      <w:r>
        <w:t xml:space="preserve">istopathological examination </w:t>
      </w:r>
      <w:r w:rsidR="001D1824">
        <w:t>lesion revealed</w:t>
      </w:r>
      <w:r>
        <w:t xml:space="preserve"> degenerated hyphae associated with acute necrotizing and chro</w:t>
      </w:r>
      <w:r w:rsidR="001D1824">
        <w:t>nic granulomatous inflammation which is consistent with mucormycosis.</w:t>
      </w:r>
    </w:p>
    <w:p w:rsidR="004236CC" w:rsidRDefault="004236CC" w:rsidP="002D0217">
      <w:pPr>
        <w:jc w:val="both"/>
        <w:rPr>
          <w:b/>
          <w:sz w:val="32"/>
          <w:szCs w:val="32"/>
        </w:rPr>
      </w:pPr>
    </w:p>
    <w:p w:rsidR="001B15F6" w:rsidRDefault="001B15F6" w:rsidP="002D0217">
      <w:pPr>
        <w:jc w:val="both"/>
        <w:rPr>
          <w:b/>
          <w:sz w:val="32"/>
          <w:szCs w:val="32"/>
        </w:rPr>
      </w:pPr>
      <w:r w:rsidRPr="001B15F6">
        <w:rPr>
          <w:b/>
          <w:sz w:val="32"/>
          <w:szCs w:val="32"/>
        </w:rPr>
        <w:t>Case Report</w:t>
      </w:r>
    </w:p>
    <w:p w:rsidR="001B15F6" w:rsidRDefault="001B15F6" w:rsidP="002D0217">
      <w:pPr>
        <w:jc w:val="both"/>
      </w:pPr>
      <w:r>
        <w:t>A 57-year-old male presented with painful, purulent swelling on the posterior medial aspect of the right ankle joint. There was no history of trauma, fever or systemic symptoms. The patient had no history of diabetes or immunosuppression.</w:t>
      </w:r>
      <w:r w:rsidR="009A4FC8">
        <w:t xml:space="preserve"> A routine set of bloods Including full blood count, renal function tests and CRP were not significant. Blood cultures failed to grow any organism. An </w:t>
      </w:r>
      <w:proofErr w:type="gramStart"/>
      <w:r w:rsidR="009A4FC8">
        <w:t>X</w:t>
      </w:r>
      <w:proofErr w:type="gramEnd"/>
      <w:r w:rsidR="009A4FC8">
        <w:t xml:space="preserve"> ray of the right ankle showed a mass posterior to </w:t>
      </w:r>
      <w:r w:rsidR="00EF6D45">
        <w:t xml:space="preserve">calcaneum. </w:t>
      </w:r>
      <w:r w:rsidR="009A4FC8">
        <w:t xml:space="preserve">Subsequent MRI report mentioned that the lesion showed haemorrhagic and cystic areas with increased vascularity and surrounding soft tissue edema. The </w:t>
      </w:r>
      <w:r w:rsidR="00EF6D45">
        <w:t>features</w:t>
      </w:r>
      <w:r w:rsidR="009A4FC8">
        <w:t xml:space="preserve"> were suggestive of a possible malignant soft tissue mass lesion. The lesion was biopsied and the findings were in keeping with a diagnosis of cutaneous invasive mucormycosis.</w:t>
      </w:r>
    </w:p>
    <w:p w:rsidR="004236CC" w:rsidRDefault="004236CC" w:rsidP="002D0217">
      <w:pPr>
        <w:jc w:val="both"/>
        <w:rPr>
          <w:b/>
          <w:sz w:val="36"/>
          <w:szCs w:val="36"/>
        </w:rPr>
      </w:pPr>
    </w:p>
    <w:p w:rsidR="00EF6D45" w:rsidRDefault="00EF6D45" w:rsidP="002D0217">
      <w:pPr>
        <w:jc w:val="both"/>
        <w:rPr>
          <w:b/>
          <w:sz w:val="36"/>
          <w:szCs w:val="36"/>
        </w:rPr>
      </w:pPr>
      <w:r w:rsidRPr="00EF6D45">
        <w:rPr>
          <w:b/>
          <w:sz w:val="36"/>
          <w:szCs w:val="36"/>
        </w:rPr>
        <w:t>Discussion</w:t>
      </w:r>
    </w:p>
    <w:p w:rsidR="00DA1019" w:rsidRPr="002D0217" w:rsidRDefault="004236CC" w:rsidP="002D0217">
      <w:pPr>
        <w:pStyle w:val="NormalWeb"/>
        <w:jc w:val="both"/>
        <w:textAlignment w:val="baseline"/>
        <w:rPr>
          <w:rFonts w:ascii="Calibri" w:hAnsi="Calibri" w:cs="Helvetica"/>
          <w:color w:val="333333"/>
          <w:sz w:val="22"/>
          <w:szCs w:val="22"/>
        </w:rPr>
      </w:pPr>
      <w:proofErr w:type="spellStart"/>
      <w:r w:rsidRPr="002D0217">
        <w:rPr>
          <w:rFonts w:asciiTheme="minorHAnsi" w:hAnsiTheme="minorHAnsi"/>
          <w:sz w:val="22"/>
          <w:szCs w:val="22"/>
        </w:rPr>
        <w:t>Mucormycosis</w:t>
      </w:r>
      <w:proofErr w:type="spellEnd"/>
      <w:r w:rsidRPr="002D0217">
        <w:rPr>
          <w:rFonts w:asciiTheme="minorHAnsi" w:hAnsiTheme="minorHAnsi"/>
          <w:sz w:val="22"/>
          <w:szCs w:val="22"/>
        </w:rPr>
        <w:t xml:space="preserve">, or </w:t>
      </w:r>
      <w:proofErr w:type="spellStart"/>
      <w:r w:rsidRPr="002D0217">
        <w:rPr>
          <w:rFonts w:asciiTheme="minorHAnsi" w:hAnsiTheme="minorHAnsi"/>
          <w:sz w:val="22"/>
          <w:szCs w:val="22"/>
        </w:rPr>
        <w:t>Zygomycosis</w:t>
      </w:r>
      <w:proofErr w:type="spellEnd"/>
      <w:r w:rsidRPr="002D0217">
        <w:rPr>
          <w:rFonts w:asciiTheme="minorHAnsi" w:hAnsiTheme="minorHAnsi"/>
          <w:sz w:val="22"/>
          <w:szCs w:val="22"/>
        </w:rPr>
        <w:t>, is a rare</w:t>
      </w:r>
      <w:r w:rsidR="00DA1019" w:rsidRPr="002D0217">
        <w:rPr>
          <w:rFonts w:asciiTheme="minorHAnsi" w:hAnsiTheme="minorHAnsi"/>
          <w:sz w:val="22"/>
          <w:szCs w:val="22"/>
        </w:rPr>
        <w:t xml:space="preserve"> fungal infection caused predom</w:t>
      </w:r>
      <w:r w:rsidRPr="002D0217">
        <w:rPr>
          <w:rFonts w:asciiTheme="minorHAnsi" w:hAnsiTheme="minorHAnsi"/>
          <w:sz w:val="22"/>
          <w:szCs w:val="22"/>
        </w:rPr>
        <w:t xml:space="preserve">inantly by members of the family </w:t>
      </w:r>
      <w:proofErr w:type="spellStart"/>
      <w:r w:rsidRPr="002D0217">
        <w:rPr>
          <w:rFonts w:asciiTheme="minorHAnsi" w:hAnsiTheme="minorHAnsi"/>
          <w:sz w:val="22"/>
          <w:szCs w:val="22"/>
        </w:rPr>
        <w:t>Mucoraceae</w:t>
      </w:r>
      <w:proofErr w:type="spellEnd"/>
      <w:r w:rsidRPr="002D0217">
        <w:rPr>
          <w:rFonts w:asciiTheme="minorHAnsi" w:hAnsiTheme="minorHAnsi"/>
          <w:sz w:val="22"/>
          <w:szCs w:val="22"/>
        </w:rPr>
        <w:t xml:space="preserve"> of the order </w:t>
      </w:r>
      <w:proofErr w:type="spellStart"/>
      <w:r w:rsidRPr="002D0217">
        <w:rPr>
          <w:rFonts w:asciiTheme="minorHAnsi" w:hAnsiTheme="minorHAnsi"/>
          <w:sz w:val="22"/>
          <w:szCs w:val="22"/>
        </w:rPr>
        <w:t>Mucorales</w:t>
      </w:r>
      <w:proofErr w:type="spellEnd"/>
      <w:r w:rsidRPr="002D0217">
        <w:rPr>
          <w:rFonts w:asciiTheme="minorHAnsi" w:hAnsiTheme="minorHAnsi"/>
          <w:sz w:val="22"/>
          <w:szCs w:val="22"/>
        </w:rPr>
        <w:t xml:space="preserve">. Fungus commonly isolated clinically belongs to the genera </w:t>
      </w:r>
      <w:proofErr w:type="spellStart"/>
      <w:r w:rsidRPr="002D0217">
        <w:rPr>
          <w:rFonts w:asciiTheme="minorHAnsi" w:hAnsiTheme="minorHAnsi"/>
          <w:sz w:val="22"/>
          <w:szCs w:val="22"/>
        </w:rPr>
        <w:t>Absidia</w:t>
      </w:r>
      <w:proofErr w:type="spellEnd"/>
      <w:r w:rsidRPr="002D0217">
        <w:rPr>
          <w:rFonts w:asciiTheme="minorHAnsi" w:hAnsiTheme="minorHAnsi"/>
          <w:sz w:val="22"/>
          <w:szCs w:val="22"/>
        </w:rPr>
        <w:t xml:space="preserve">, </w:t>
      </w:r>
      <w:proofErr w:type="spellStart"/>
      <w:r w:rsidRPr="002D0217">
        <w:rPr>
          <w:rFonts w:asciiTheme="minorHAnsi" w:hAnsiTheme="minorHAnsi"/>
          <w:sz w:val="22"/>
          <w:szCs w:val="22"/>
        </w:rPr>
        <w:t>Mucor</w:t>
      </w:r>
      <w:proofErr w:type="spellEnd"/>
      <w:r w:rsidRPr="002D0217">
        <w:rPr>
          <w:rFonts w:asciiTheme="minorHAnsi" w:hAnsiTheme="minorHAnsi"/>
          <w:sz w:val="22"/>
          <w:szCs w:val="22"/>
        </w:rPr>
        <w:t xml:space="preserve"> or </w:t>
      </w:r>
      <w:proofErr w:type="spellStart"/>
      <w:r w:rsidRPr="002D0217">
        <w:rPr>
          <w:rFonts w:asciiTheme="minorHAnsi" w:hAnsiTheme="minorHAnsi"/>
          <w:sz w:val="22"/>
          <w:szCs w:val="22"/>
        </w:rPr>
        <w:t>Rhizopus</w:t>
      </w:r>
      <w:proofErr w:type="spellEnd"/>
      <w:r w:rsidRPr="002D0217">
        <w:rPr>
          <w:rFonts w:asciiTheme="minorHAnsi" w:hAnsiTheme="minorHAnsi"/>
          <w:sz w:val="22"/>
          <w:szCs w:val="22"/>
        </w:rPr>
        <w:t xml:space="preserve">. They can cause devastating illness in previously well patients when compared to other filamentous fungi. Mortality varies depending on site of infection and patient co-morbidity. Single site infection in patients with no underlying pathology has an overall mortality of 35% but disseminated disease has a mortality of 96%.The most common predisposing factors include Diabetes, immunosuppression and history of trauma. Patients with chronic renal failure are also susceptible. </w:t>
      </w:r>
      <w:proofErr w:type="spellStart"/>
      <w:r w:rsidRPr="002D0217">
        <w:rPr>
          <w:rFonts w:asciiTheme="minorHAnsi" w:hAnsiTheme="minorHAnsi"/>
          <w:sz w:val="22"/>
          <w:szCs w:val="22"/>
        </w:rPr>
        <w:t>Rhinocerebral</w:t>
      </w:r>
      <w:proofErr w:type="spellEnd"/>
      <w:r w:rsidRPr="002D0217">
        <w:rPr>
          <w:rFonts w:asciiTheme="minorHAnsi" w:hAnsiTheme="minorHAnsi"/>
          <w:sz w:val="22"/>
          <w:szCs w:val="22"/>
        </w:rPr>
        <w:t>/</w:t>
      </w:r>
      <w:proofErr w:type="spellStart"/>
      <w:r w:rsidRPr="002D0217">
        <w:rPr>
          <w:rFonts w:asciiTheme="minorHAnsi" w:hAnsiTheme="minorHAnsi"/>
          <w:sz w:val="22"/>
          <w:szCs w:val="22"/>
        </w:rPr>
        <w:t>rhinofacial</w:t>
      </w:r>
      <w:proofErr w:type="spellEnd"/>
      <w:r w:rsidRPr="002D0217">
        <w:rPr>
          <w:rFonts w:asciiTheme="minorHAnsi" w:hAnsiTheme="minorHAnsi"/>
          <w:sz w:val="22"/>
          <w:szCs w:val="22"/>
        </w:rPr>
        <w:t xml:space="preserve"> form is the most common but occasionally pulmonary, gastrointestinal and cutaneous forms may also occur. Mucormycosis of the cutaneous and subcutaneous tissues is relatively uncommon.</w:t>
      </w:r>
      <w:r w:rsidR="00F713A3" w:rsidRPr="002D0217">
        <w:rPr>
          <w:rFonts w:asciiTheme="minorHAnsi" w:hAnsiTheme="minorHAnsi"/>
          <w:sz w:val="22"/>
          <w:szCs w:val="22"/>
        </w:rPr>
        <w:t xml:space="preserve"> Mucormycosis can be diagnosed in histopathologic sections by </w:t>
      </w:r>
      <w:proofErr w:type="spellStart"/>
      <w:r w:rsidR="00F713A3" w:rsidRPr="002D0217">
        <w:rPr>
          <w:rFonts w:asciiTheme="minorHAnsi" w:hAnsiTheme="minorHAnsi"/>
          <w:sz w:val="22"/>
          <w:szCs w:val="22"/>
        </w:rPr>
        <w:t>hematoxylin</w:t>
      </w:r>
      <w:proofErr w:type="spellEnd"/>
      <w:r w:rsidR="00F713A3" w:rsidRPr="002D0217">
        <w:rPr>
          <w:rFonts w:asciiTheme="minorHAnsi" w:hAnsiTheme="minorHAnsi"/>
          <w:sz w:val="22"/>
          <w:szCs w:val="22"/>
        </w:rPr>
        <w:t xml:space="preserve"> and eosin stain (H&amp;E) with the aid of PAS or GMS stain.</w:t>
      </w:r>
      <w:r w:rsidR="00DA1019" w:rsidRPr="002D0217">
        <w:rPr>
          <w:rFonts w:asciiTheme="minorHAnsi" w:hAnsiTheme="minorHAnsi" w:cs="Helvetica"/>
          <w:color w:val="333333"/>
          <w:sz w:val="22"/>
          <w:szCs w:val="22"/>
        </w:rPr>
        <w:t xml:space="preserve"> </w:t>
      </w:r>
      <w:r w:rsidR="00DA1019" w:rsidRPr="002D0217">
        <w:rPr>
          <w:rFonts w:ascii="Calibri" w:hAnsi="Calibri" w:cs="Helvetica"/>
          <w:color w:val="333333"/>
          <w:sz w:val="22"/>
          <w:szCs w:val="22"/>
        </w:rPr>
        <w:t xml:space="preserve">The fungal forms of </w:t>
      </w:r>
      <w:proofErr w:type="spellStart"/>
      <w:r w:rsidR="00DA1019" w:rsidRPr="002D0217">
        <w:rPr>
          <w:rFonts w:ascii="Calibri" w:hAnsi="Calibri" w:cs="Helvetica"/>
          <w:color w:val="333333"/>
          <w:sz w:val="22"/>
          <w:szCs w:val="22"/>
        </w:rPr>
        <w:t>mucormycosis</w:t>
      </w:r>
      <w:proofErr w:type="spellEnd"/>
      <w:r w:rsidR="00DA1019" w:rsidRPr="002D0217">
        <w:rPr>
          <w:rFonts w:ascii="Calibri" w:hAnsi="Calibri" w:cs="Helvetica"/>
          <w:color w:val="333333"/>
          <w:sz w:val="22"/>
          <w:szCs w:val="22"/>
        </w:rPr>
        <w:t xml:space="preserve"> are broad, non-septate hyphae. They are wider than Aspergillus species and branch irregularly. The angle of branching is greater than other organisms, and usually approaches 90°</w:t>
      </w:r>
      <w:r w:rsidR="00DA1019" w:rsidRPr="002D0217">
        <w:rPr>
          <w:rFonts w:ascii="Calibri" w:hAnsi="Calibri" w:cs="Helvetica"/>
          <w:color w:val="333333"/>
          <w:sz w:val="22"/>
          <w:szCs w:val="22"/>
        </w:rPr>
        <w:t xml:space="preserve">. </w:t>
      </w:r>
      <w:proofErr w:type="spellStart"/>
      <w:r w:rsidR="00DA1019" w:rsidRPr="002D0217">
        <w:rPr>
          <w:rFonts w:ascii="Calibri" w:hAnsi="Calibri" w:cs="Helvetica"/>
          <w:color w:val="333333"/>
          <w:sz w:val="22"/>
          <w:szCs w:val="22"/>
        </w:rPr>
        <w:t>Angioinvasion</w:t>
      </w:r>
      <w:proofErr w:type="spellEnd"/>
      <w:r w:rsidR="00DA1019" w:rsidRPr="002D0217">
        <w:rPr>
          <w:rFonts w:ascii="Calibri" w:hAnsi="Calibri" w:cs="Helvetica"/>
          <w:color w:val="333333"/>
          <w:sz w:val="22"/>
          <w:szCs w:val="22"/>
        </w:rPr>
        <w:t xml:space="preserve"> is common and may elicit </w:t>
      </w:r>
      <w:r w:rsidR="00DA1019" w:rsidRPr="002D0217">
        <w:rPr>
          <w:rStyle w:val="term"/>
          <w:rFonts w:ascii="Calibri" w:hAnsi="Calibri" w:cs="Helvetica"/>
          <w:color w:val="333333"/>
          <w:sz w:val="22"/>
          <w:szCs w:val="22"/>
          <w:bdr w:val="none" w:sz="0" w:space="0" w:color="auto" w:frame="1"/>
        </w:rPr>
        <w:t>intravascular</w:t>
      </w:r>
      <w:r w:rsidR="00DA1019" w:rsidRPr="002D0217">
        <w:rPr>
          <w:rFonts w:ascii="Calibri" w:hAnsi="Calibri" w:cs="Helvetica"/>
          <w:color w:val="333333"/>
          <w:sz w:val="22"/>
          <w:szCs w:val="22"/>
        </w:rPr>
        <w:t> </w:t>
      </w:r>
      <w:r w:rsidR="00DA1019" w:rsidRPr="002D0217">
        <w:rPr>
          <w:rStyle w:val="term"/>
          <w:rFonts w:ascii="Calibri" w:hAnsi="Calibri" w:cs="Helvetica"/>
          <w:color w:val="333333"/>
          <w:sz w:val="22"/>
          <w:szCs w:val="22"/>
          <w:bdr w:val="none" w:sz="0" w:space="0" w:color="auto" w:frame="1"/>
        </w:rPr>
        <w:t>thrombosis</w:t>
      </w:r>
      <w:r w:rsidR="00DA1019" w:rsidRPr="002D0217">
        <w:rPr>
          <w:rFonts w:ascii="Calibri" w:hAnsi="Calibri" w:cs="Helvetica"/>
          <w:color w:val="333333"/>
          <w:sz w:val="22"/>
          <w:szCs w:val="22"/>
        </w:rPr>
        <w:t>. There is often a marked </w:t>
      </w:r>
      <w:r w:rsidR="00DA1019" w:rsidRPr="002D0217">
        <w:rPr>
          <w:rStyle w:val="term"/>
          <w:rFonts w:ascii="Calibri" w:hAnsi="Calibri" w:cs="Helvetica"/>
          <w:color w:val="333333"/>
          <w:sz w:val="22"/>
          <w:szCs w:val="22"/>
          <w:bdr w:val="none" w:sz="0" w:space="0" w:color="auto" w:frame="1"/>
        </w:rPr>
        <w:t>inflammatory</w:t>
      </w:r>
      <w:r w:rsidR="00DA1019" w:rsidRPr="002D0217">
        <w:rPr>
          <w:rFonts w:ascii="Calibri" w:hAnsi="Calibri" w:cs="Helvetica"/>
          <w:color w:val="333333"/>
          <w:sz w:val="22"/>
          <w:szCs w:val="22"/>
        </w:rPr>
        <w:t> response which may be </w:t>
      </w:r>
      <w:r w:rsidR="00DA1019" w:rsidRPr="002D0217">
        <w:rPr>
          <w:rStyle w:val="term"/>
          <w:rFonts w:ascii="Calibri" w:hAnsi="Calibri" w:cs="Helvetica"/>
          <w:color w:val="333333"/>
          <w:sz w:val="22"/>
          <w:szCs w:val="22"/>
          <w:bdr w:val="none" w:sz="0" w:space="0" w:color="auto" w:frame="1"/>
        </w:rPr>
        <w:t>neutrophilic</w:t>
      </w:r>
      <w:r w:rsidR="00DA1019" w:rsidRPr="002D0217">
        <w:rPr>
          <w:rFonts w:ascii="Calibri" w:hAnsi="Calibri" w:cs="Helvetica"/>
          <w:color w:val="333333"/>
          <w:sz w:val="22"/>
          <w:szCs w:val="22"/>
        </w:rPr>
        <w:t> and </w:t>
      </w:r>
      <w:r w:rsidR="00DA1019" w:rsidRPr="002D0217">
        <w:rPr>
          <w:rStyle w:val="term"/>
          <w:rFonts w:ascii="Calibri" w:hAnsi="Calibri" w:cs="Helvetica"/>
          <w:color w:val="333333"/>
          <w:sz w:val="22"/>
          <w:szCs w:val="22"/>
          <w:bdr w:val="none" w:sz="0" w:space="0" w:color="auto" w:frame="1"/>
        </w:rPr>
        <w:t>granulomatous</w:t>
      </w:r>
      <w:r w:rsidR="00DA1019" w:rsidRPr="002D0217">
        <w:rPr>
          <w:rFonts w:ascii="Calibri" w:hAnsi="Calibri" w:cs="Helvetica"/>
          <w:color w:val="333333"/>
          <w:sz w:val="22"/>
          <w:szCs w:val="22"/>
        </w:rPr>
        <w:t>. Sometimes, there is minimal inflammatory response, particularly in </w:t>
      </w:r>
      <w:r w:rsidR="00DA1019" w:rsidRPr="002D0217">
        <w:rPr>
          <w:rStyle w:val="term"/>
          <w:rFonts w:ascii="Calibri" w:hAnsi="Calibri" w:cs="Helvetica"/>
          <w:color w:val="333333"/>
          <w:sz w:val="22"/>
          <w:szCs w:val="22"/>
          <w:bdr w:val="none" w:sz="0" w:space="0" w:color="auto" w:frame="1"/>
        </w:rPr>
        <w:t>immunosuppressed</w:t>
      </w:r>
      <w:r w:rsidR="00DA1019" w:rsidRPr="002D0217">
        <w:rPr>
          <w:rFonts w:ascii="Calibri" w:hAnsi="Calibri" w:cs="Helvetica"/>
          <w:color w:val="333333"/>
          <w:sz w:val="22"/>
          <w:szCs w:val="22"/>
        </w:rPr>
        <w:t> individuals.</w:t>
      </w:r>
    </w:p>
    <w:p w:rsidR="007703FE" w:rsidRPr="002D0217" w:rsidRDefault="00F713A3" w:rsidP="002D0217">
      <w:pPr>
        <w:jc w:val="both"/>
      </w:pPr>
      <w:r w:rsidRPr="002D0217">
        <w:t xml:space="preserve"> </w:t>
      </w:r>
      <w:r w:rsidR="00897A38" w:rsidRPr="002D0217">
        <w:t xml:space="preserve">Routine blood work may not suggest anything and the cultures </w:t>
      </w:r>
      <w:r w:rsidR="008D11BC" w:rsidRPr="002D0217">
        <w:t xml:space="preserve">may not grow any organisms </w:t>
      </w:r>
      <w:r w:rsidR="00897A38" w:rsidRPr="002D0217">
        <w:t>often.</w:t>
      </w:r>
      <w:r w:rsidR="007703FE" w:rsidRPr="002D0217">
        <w:t xml:space="preserve"> Treatment includes, complete excision or debridement of the lesion with systemic Amphotericin-B. If </w:t>
      </w:r>
      <w:r w:rsidR="007703FE" w:rsidRPr="002D0217">
        <w:lastRenderedPageBreak/>
        <w:t xml:space="preserve">left untreated </w:t>
      </w:r>
      <w:r w:rsidR="00AD6B29" w:rsidRPr="002D0217">
        <w:t>or</w:t>
      </w:r>
      <w:r w:rsidR="007703FE" w:rsidRPr="002D0217">
        <w:t xml:space="preserve"> in case of inadequate removal of </w:t>
      </w:r>
      <w:r w:rsidR="00DA1019" w:rsidRPr="002D0217">
        <w:t>lesion, it</w:t>
      </w:r>
      <w:r w:rsidR="007703FE" w:rsidRPr="002D0217">
        <w:t xml:space="preserve"> may </w:t>
      </w:r>
      <w:r w:rsidR="00AD6B29" w:rsidRPr="002D0217">
        <w:t xml:space="preserve">destroy the surrounding local areas </w:t>
      </w:r>
      <w:r w:rsidR="007703FE" w:rsidRPr="002D0217">
        <w:t xml:space="preserve">or </w:t>
      </w:r>
      <w:r w:rsidR="00AD6B29" w:rsidRPr="002D0217">
        <w:t>extend</w:t>
      </w:r>
      <w:r w:rsidR="007703FE" w:rsidRPr="002D0217">
        <w:t xml:space="preserve"> into deep tissues that may require amputation.</w:t>
      </w:r>
    </w:p>
    <w:p w:rsidR="007703FE" w:rsidRDefault="007703FE" w:rsidP="002D0217">
      <w:pPr>
        <w:jc w:val="both"/>
        <w:rPr>
          <w:b/>
          <w:sz w:val="36"/>
          <w:szCs w:val="36"/>
        </w:rPr>
      </w:pPr>
      <w:r w:rsidRPr="007703FE">
        <w:rPr>
          <w:b/>
          <w:sz w:val="36"/>
          <w:szCs w:val="36"/>
        </w:rPr>
        <w:t>Summary</w:t>
      </w:r>
    </w:p>
    <w:p w:rsidR="00A370A3" w:rsidRPr="002D0217" w:rsidRDefault="007F4718" w:rsidP="002D0217">
      <w:pPr>
        <w:jc w:val="both"/>
      </w:pPr>
      <w:r w:rsidRPr="002D0217">
        <w:t>To summarize, cutaneous and subcutaneous forms of mucormycosis are rare. This case was particularly rare as there was no obvious predisposing factor.</w:t>
      </w:r>
      <w:r w:rsidR="00A370A3" w:rsidRPr="002D0217">
        <w:t xml:space="preserve"> The ma</w:t>
      </w:r>
      <w:r w:rsidR="00DA1019" w:rsidRPr="002D0217">
        <w:t>nagement needs to be aggressive</w:t>
      </w:r>
      <w:r w:rsidR="002D0217">
        <w:t xml:space="preserve"> and should include control of the predisposing factors as well.</w:t>
      </w:r>
    </w:p>
    <w:p w:rsidR="00DA1019" w:rsidRDefault="00DA1019" w:rsidP="002D0217">
      <w:pPr>
        <w:jc w:val="both"/>
        <w:rPr>
          <w:sz w:val="24"/>
          <w:szCs w:val="24"/>
        </w:rPr>
      </w:pPr>
    </w:p>
    <w:p w:rsidR="00EC0D6A" w:rsidRDefault="00EC0D6A" w:rsidP="002D0217">
      <w:pPr>
        <w:jc w:val="both"/>
        <w:rPr>
          <w:b/>
          <w:sz w:val="28"/>
          <w:szCs w:val="28"/>
        </w:rPr>
      </w:pPr>
      <w:r w:rsidRPr="00EC0D6A">
        <w:rPr>
          <w:b/>
          <w:sz w:val="28"/>
          <w:szCs w:val="28"/>
        </w:rPr>
        <w:t>IMAGES</w:t>
      </w:r>
    </w:p>
    <w:p w:rsidR="00EC0D6A" w:rsidRDefault="00EC0D6A" w:rsidP="002D0217">
      <w:pPr>
        <w:jc w:val="both"/>
        <w:rPr>
          <w:b/>
          <w:noProof/>
          <w:sz w:val="28"/>
          <w:szCs w:val="28"/>
          <w:lang w:eastAsia="en-GB"/>
        </w:rPr>
      </w:pPr>
      <w:r>
        <w:rPr>
          <w:b/>
          <w:noProof/>
          <w:sz w:val="28"/>
          <w:szCs w:val="28"/>
          <w:lang w:eastAsia="en-GB"/>
        </w:rPr>
        <w:drawing>
          <wp:inline distT="0" distB="0" distL="0" distR="0" wp14:anchorId="26BFBF16" wp14:editId="2512659E">
            <wp:extent cx="2314575" cy="2854334"/>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112-WA0003_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14380" cy="2854094"/>
                    </a:xfrm>
                    <a:prstGeom prst="rect">
                      <a:avLst/>
                    </a:prstGeom>
                  </pic:spPr>
                </pic:pic>
              </a:graphicData>
            </a:graphic>
          </wp:inline>
        </w:drawing>
      </w:r>
    </w:p>
    <w:p w:rsidR="00EC0D6A" w:rsidRDefault="00EC0D6A" w:rsidP="002D0217">
      <w:pPr>
        <w:jc w:val="both"/>
        <w:rPr>
          <w:b/>
          <w:sz w:val="28"/>
          <w:szCs w:val="28"/>
        </w:rPr>
      </w:pPr>
      <w:r>
        <w:rPr>
          <w:b/>
          <w:noProof/>
          <w:sz w:val="28"/>
          <w:szCs w:val="28"/>
          <w:lang w:eastAsia="en-GB"/>
        </w:rPr>
        <w:drawing>
          <wp:inline distT="0" distB="0" distL="0" distR="0" wp14:anchorId="4DD121D5" wp14:editId="6B0BD480">
            <wp:extent cx="2314575" cy="2943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1206-WA0015 (1) (2).jpg"/>
                    <pic:cNvPicPr/>
                  </pic:nvPicPr>
                  <pic:blipFill>
                    <a:blip r:embed="rId7">
                      <a:extLst>
                        <a:ext uri="{28A0092B-C50C-407E-A947-70E740481C1C}">
                          <a14:useLocalDpi xmlns:a14="http://schemas.microsoft.com/office/drawing/2010/main" val="0"/>
                        </a:ext>
                      </a:extLst>
                    </a:blip>
                    <a:stretch>
                      <a:fillRect/>
                    </a:stretch>
                  </pic:blipFill>
                  <pic:spPr>
                    <a:xfrm>
                      <a:off x="0" y="0"/>
                      <a:ext cx="2314575" cy="2943225"/>
                    </a:xfrm>
                    <a:prstGeom prst="rect">
                      <a:avLst/>
                    </a:prstGeom>
                  </pic:spPr>
                </pic:pic>
              </a:graphicData>
            </a:graphic>
          </wp:inline>
        </w:drawing>
      </w:r>
    </w:p>
    <w:p w:rsidR="00EC0D6A" w:rsidRPr="00EC0D6A" w:rsidRDefault="00EC0D6A" w:rsidP="002D0217">
      <w:pPr>
        <w:jc w:val="both"/>
        <w:rPr>
          <w:b/>
          <w:sz w:val="28"/>
          <w:szCs w:val="28"/>
        </w:rPr>
      </w:pPr>
      <w:r>
        <w:rPr>
          <w:b/>
          <w:noProof/>
          <w:sz w:val="28"/>
          <w:szCs w:val="28"/>
          <w:lang w:eastAsia="en-GB"/>
        </w:rPr>
        <w:lastRenderedPageBreak/>
        <w:drawing>
          <wp:inline distT="0" distB="0" distL="0" distR="0" wp14:anchorId="3FE41076" wp14:editId="2B58502A">
            <wp:extent cx="2428875" cy="2981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1206-WA0015 (1) (1).jpg"/>
                    <pic:cNvPicPr/>
                  </pic:nvPicPr>
                  <pic:blipFill>
                    <a:blip r:embed="rId8">
                      <a:extLst>
                        <a:ext uri="{28A0092B-C50C-407E-A947-70E740481C1C}">
                          <a14:useLocalDpi xmlns:a14="http://schemas.microsoft.com/office/drawing/2010/main" val="0"/>
                        </a:ext>
                      </a:extLst>
                    </a:blip>
                    <a:stretch>
                      <a:fillRect/>
                    </a:stretch>
                  </pic:blipFill>
                  <pic:spPr>
                    <a:xfrm>
                      <a:off x="0" y="0"/>
                      <a:ext cx="2433346" cy="2986813"/>
                    </a:xfrm>
                    <a:prstGeom prst="rect">
                      <a:avLst/>
                    </a:prstGeom>
                  </pic:spPr>
                </pic:pic>
              </a:graphicData>
            </a:graphic>
          </wp:inline>
        </w:drawing>
      </w:r>
    </w:p>
    <w:p w:rsidR="00EA5DE8" w:rsidRDefault="00EA5DE8" w:rsidP="002D0217">
      <w:pPr>
        <w:jc w:val="both"/>
        <w:rPr>
          <w:b/>
          <w:sz w:val="36"/>
          <w:szCs w:val="36"/>
        </w:rPr>
      </w:pPr>
      <w:r w:rsidRPr="00EA5DE8">
        <w:rPr>
          <w:b/>
          <w:sz w:val="36"/>
          <w:szCs w:val="36"/>
        </w:rPr>
        <w:t>References</w:t>
      </w:r>
      <w:r>
        <w:rPr>
          <w:b/>
          <w:sz w:val="36"/>
          <w:szCs w:val="36"/>
        </w:rPr>
        <w:t xml:space="preserve"> </w:t>
      </w:r>
    </w:p>
    <w:p w:rsidR="00EA5DE8" w:rsidRPr="00E17D18" w:rsidRDefault="00EA5DE8" w:rsidP="002D0217">
      <w:pPr>
        <w:pStyle w:val="ListParagraph"/>
        <w:numPr>
          <w:ilvl w:val="0"/>
          <w:numId w:val="2"/>
        </w:numPr>
        <w:jc w:val="both"/>
        <w:rPr>
          <w:sz w:val="24"/>
          <w:szCs w:val="24"/>
        </w:rPr>
      </w:pPr>
      <w:r w:rsidRPr="00E17D18">
        <w:rPr>
          <w:sz w:val="24"/>
          <w:szCs w:val="24"/>
        </w:rPr>
        <w:t>ANNALS OF CLINICAL AND LABORATORY SCIENCE, Vol. 29, No. 1</w:t>
      </w:r>
    </w:p>
    <w:p w:rsidR="00EA5DE8" w:rsidRPr="00E17D18" w:rsidRDefault="00EA5DE8" w:rsidP="002D0217">
      <w:pPr>
        <w:pStyle w:val="ListParagraph"/>
        <w:numPr>
          <w:ilvl w:val="0"/>
          <w:numId w:val="2"/>
        </w:numPr>
        <w:jc w:val="both"/>
        <w:rPr>
          <w:sz w:val="24"/>
          <w:szCs w:val="24"/>
        </w:rPr>
      </w:pPr>
      <w:r w:rsidRPr="00E17D18">
        <w:rPr>
          <w:sz w:val="24"/>
          <w:szCs w:val="24"/>
        </w:rPr>
        <w:t>The Intensive care society case reports</w:t>
      </w:r>
    </w:p>
    <w:p w:rsidR="00EA5DE8" w:rsidRPr="00E17D18" w:rsidRDefault="00EA5DE8" w:rsidP="002D0217">
      <w:pPr>
        <w:pStyle w:val="ListParagraph"/>
        <w:numPr>
          <w:ilvl w:val="0"/>
          <w:numId w:val="2"/>
        </w:numPr>
        <w:shd w:val="clear" w:color="auto" w:fill="FFFFFF"/>
        <w:spacing w:after="166" w:line="324" w:lineRule="atLeast"/>
        <w:jc w:val="both"/>
        <w:outlineLvl w:val="0"/>
        <w:rPr>
          <w:rFonts w:eastAsia="Times New Roman" w:cs="Arial"/>
          <w:bCs/>
          <w:color w:val="000000"/>
          <w:kern w:val="36"/>
          <w:sz w:val="24"/>
          <w:szCs w:val="24"/>
          <w:lang w:eastAsia="en-GB"/>
        </w:rPr>
      </w:pPr>
      <w:r w:rsidRPr="00E17D18">
        <w:rPr>
          <w:rFonts w:eastAsia="Times New Roman" w:cs="Arial"/>
          <w:bCs/>
          <w:color w:val="000000"/>
          <w:kern w:val="36"/>
          <w:sz w:val="24"/>
          <w:szCs w:val="24"/>
          <w:lang w:eastAsia="en-GB"/>
        </w:rPr>
        <w:t>National Institute for Health and Care Excellence: Clinical Guidelines, UK</w:t>
      </w:r>
    </w:p>
    <w:p w:rsidR="00A370A3" w:rsidRDefault="00A370A3" w:rsidP="002D0217">
      <w:pPr>
        <w:jc w:val="both"/>
        <w:rPr>
          <w:sz w:val="24"/>
          <w:szCs w:val="24"/>
        </w:rPr>
      </w:pPr>
    </w:p>
    <w:p w:rsidR="00A370A3" w:rsidRDefault="00A370A3" w:rsidP="002D0217">
      <w:pPr>
        <w:jc w:val="both"/>
        <w:rPr>
          <w:b/>
          <w:sz w:val="32"/>
          <w:szCs w:val="32"/>
        </w:rPr>
      </w:pPr>
      <w:r w:rsidRPr="00A370A3">
        <w:rPr>
          <w:b/>
          <w:sz w:val="32"/>
          <w:szCs w:val="32"/>
        </w:rPr>
        <w:t>AUTHORS</w:t>
      </w:r>
    </w:p>
    <w:p w:rsidR="00C321E9" w:rsidRPr="00C321E9" w:rsidRDefault="00C321E9" w:rsidP="00C321E9">
      <w:pPr>
        <w:pStyle w:val="ListParagraph"/>
        <w:numPr>
          <w:ilvl w:val="0"/>
          <w:numId w:val="3"/>
        </w:numPr>
        <w:jc w:val="both"/>
        <w:rPr>
          <w:sz w:val="28"/>
          <w:szCs w:val="28"/>
        </w:rPr>
      </w:pPr>
      <w:r>
        <w:rPr>
          <w:sz w:val="28"/>
          <w:szCs w:val="28"/>
        </w:rPr>
        <w:t>Dr Chirag Shah,</w:t>
      </w:r>
      <w:bookmarkStart w:id="0" w:name="_GoBack"/>
      <w:bookmarkEnd w:id="0"/>
      <w:r w:rsidR="00A370A3" w:rsidRPr="00C321E9">
        <w:rPr>
          <w:sz w:val="28"/>
          <w:szCs w:val="28"/>
        </w:rPr>
        <w:t xml:space="preserve"> University College of Medical Sciences, New Delhi</w:t>
      </w:r>
    </w:p>
    <w:p w:rsidR="00A370A3" w:rsidRPr="00C321E9" w:rsidRDefault="00A370A3" w:rsidP="00C321E9">
      <w:pPr>
        <w:pStyle w:val="ListParagraph"/>
        <w:numPr>
          <w:ilvl w:val="0"/>
          <w:numId w:val="3"/>
        </w:numPr>
        <w:jc w:val="both"/>
        <w:rPr>
          <w:sz w:val="28"/>
          <w:szCs w:val="28"/>
        </w:rPr>
      </w:pPr>
      <w:r w:rsidRPr="00C321E9">
        <w:rPr>
          <w:sz w:val="28"/>
          <w:szCs w:val="28"/>
        </w:rPr>
        <w:t xml:space="preserve">Dr </w:t>
      </w:r>
      <w:proofErr w:type="spellStart"/>
      <w:r w:rsidRPr="00C321E9">
        <w:rPr>
          <w:sz w:val="28"/>
          <w:szCs w:val="28"/>
        </w:rPr>
        <w:t>Shitanshu</w:t>
      </w:r>
      <w:proofErr w:type="spellEnd"/>
      <w:r w:rsidRPr="00C321E9">
        <w:rPr>
          <w:sz w:val="28"/>
          <w:szCs w:val="28"/>
        </w:rPr>
        <w:t xml:space="preserve"> </w:t>
      </w:r>
      <w:proofErr w:type="spellStart"/>
      <w:r w:rsidRPr="00C321E9">
        <w:rPr>
          <w:sz w:val="28"/>
          <w:szCs w:val="28"/>
        </w:rPr>
        <w:t>Kalani</w:t>
      </w:r>
      <w:proofErr w:type="spellEnd"/>
      <w:r w:rsidRPr="00C321E9">
        <w:rPr>
          <w:sz w:val="28"/>
          <w:szCs w:val="28"/>
        </w:rPr>
        <w:t xml:space="preserve"> , Royal Blackburn Hospital, UK</w:t>
      </w:r>
    </w:p>
    <w:p w:rsidR="00A370A3" w:rsidRPr="00C321E9" w:rsidRDefault="00A370A3" w:rsidP="00C321E9">
      <w:pPr>
        <w:pStyle w:val="ListParagraph"/>
        <w:numPr>
          <w:ilvl w:val="0"/>
          <w:numId w:val="3"/>
        </w:numPr>
        <w:jc w:val="both"/>
        <w:rPr>
          <w:sz w:val="28"/>
          <w:szCs w:val="28"/>
        </w:rPr>
      </w:pPr>
      <w:r w:rsidRPr="00C321E9">
        <w:rPr>
          <w:sz w:val="28"/>
          <w:szCs w:val="28"/>
        </w:rPr>
        <w:t xml:space="preserve">Dr </w:t>
      </w:r>
      <w:proofErr w:type="spellStart"/>
      <w:r w:rsidRPr="00C321E9">
        <w:rPr>
          <w:sz w:val="28"/>
          <w:szCs w:val="28"/>
        </w:rPr>
        <w:t>Munim</w:t>
      </w:r>
      <w:proofErr w:type="spellEnd"/>
      <w:r w:rsidRPr="00C321E9">
        <w:rPr>
          <w:sz w:val="28"/>
          <w:szCs w:val="28"/>
        </w:rPr>
        <w:t xml:space="preserve"> Tariq , Royal Blackburn Hospital, UK</w:t>
      </w:r>
    </w:p>
    <w:sectPr w:rsidR="00A370A3" w:rsidRPr="00C321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4123F"/>
    <w:multiLevelType w:val="hybridMultilevel"/>
    <w:tmpl w:val="739A5CCA"/>
    <w:lvl w:ilvl="0" w:tplc="CC9C3778">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3C4415E"/>
    <w:multiLevelType w:val="hybridMultilevel"/>
    <w:tmpl w:val="6F28B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FD52B46"/>
    <w:multiLevelType w:val="hybridMultilevel"/>
    <w:tmpl w:val="067AD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5F6"/>
    <w:rsid w:val="00082104"/>
    <w:rsid w:val="001B15F6"/>
    <w:rsid w:val="001D1824"/>
    <w:rsid w:val="002D0217"/>
    <w:rsid w:val="004236CC"/>
    <w:rsid w:val="007405D6"/>
    <w:rsid w:val="007703FE"/>
    <w:rsid w:val="007F4718"/>
    <w:rsid w:val="00897A38"/>
    <w:rsid w:val="008D11BC"/>
    <w:rsid w:val="009A4FC8"/>
    <w:rsid w:val="00A370A3"/>
    <w:rsid w:val="00AD6B29"/>
    <w:rsid w:val="00BF1875"/>
    <w:rsid w:val="00C321E9"/>
    <w:rsid w:val="00DA1019"/>
    <w:rsid w:val="00E17D18"/>
    <w:rsid w:val="00EA5DE8"/>
    <w:rsid w:val="00EC0D6A"/>
    <w:rsid w:val="00EF6D45"/>
    <w:rsid w:val="00F71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A5D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0A3"/>
    <w:pPr>
      <w:ind w:left="720"/>
      <w:contextualSpacing/>
    </w:pPr>
  </w:style>
  <w:style w:type="character" w:customStyle="1" w:styleId="Heading1Char">
    <w:name w:val="Heading 1 Char"/>
    <w:basedOn w:val="DefaultParagraphFont"/>
    <w:link w:val="Heading1"/>
    <w:uiPriority w:val="9"/>
    <w:rsid w:val="00EA5DE8"/>
    <w:rPr>
      <w:rFonts w:ascii="Times New Roman" w:eastAsia="Times New Roman" w:hAnsi="Times New Roman" w:cs="Times New Roman"/>
      <w:b/>
      <w:bCs/>
      <w:kern w:val="36"/>
      <w:sz w:val="48"/>
      <w:szCs w:val="48"/>
      <w:lang w:eastAsia="en-GB"/>
    </w:rPr>
  </w:style>
  <w:style w:type="paragraph" w:styleId="BalloonText">
    <w:name w:val="Balloon Text"/>
    <w:basedOn w:val="Normal"/>
    <w:link w:val="BalloonTextChar"/>
    <w:uiPriority w:val="99"/>
    <w:semiHidden/>
    <w:unhideWhenUsed/>
    <w:rsid w:val="00EC0D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D6A"/>
    <w:rPr>
      <w:rFonts w:ascii="Tahoma" w:hAnsi="Tahoma" w:cs="Tahoma"/>
      <w:sz w:val="16"/>
      <w:szCs w:val="16"/>
    </w:rPr>
  </w:style>
  <w:style w:type="paragraph" w:styleId="NormalWeb">
    <w:name w:val="Normal (Web)"/>
    <w:basedOn w:val="Normal"/>
    <w:uiPriority w:val="99"/>
    <w:semiHidden/>
    <w:unhideWhenUsed/>
    <w:rsid w:val="00DA10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rm">
    <w:name w:val="term"/>
    <w:basedOn w:val="DefaultParagraphFont"/>
    <w:rsid w:val="00DA10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A5D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0A3"/>
    <w:pPr>
      <w:ind w:left="720"/>
      <w:contextualSpacing/>
    </w:pPr>
  </w:style>
  <w:style w:type="character" w:customStyle="1" w:styleId="Heading1Char">
    <w:name w:val="Heading 1 Char"/>
    <w:basedOn w:val="DefaultParagraphFont"/>
    <w:link w:val="Heading1"/>
    <w:uiPriority w:val="9"/>
    <w:rsid w:val="00EA5DE8"/>
    <w:rPr>
      <w:rFonts w:ascii="Times New Roman" w:eastAsia="Times New Roman" w:hAnsi="Times New Roman" w:cs="Times New Roman"/>
      <w:b/>
      <w:bCs/>
      <w:kern w:val="36"/>
      <w:sz w:val="48"/>
      <w:szCs w:val="48"/>
      <w:lang w:eastAsia="en-GB"/>
    </w:rPr>
  </w:style>
  <w:style w:type="paragraph" w:styleId="BalloonText">
    <w:name w:val="Balloon Text"/>
    <w:basedOn w:val="Normal"/>
    <w:link w:val="BalloonTextChar"/>
    <w:uiPriority w:val="99"/>
    <w:semiHidden/>
    <w:unhideWhenUsed/>
    <w:rsid w:val="00EC0D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D6A"/>
    <w:rPr>
      <w:rFonts w:ascii="Tahoma" w:hAnsi="Tahoma" w:cs="Tahoma"/>
      <w:sz w:val="16"/>
      <w:szCs w:val="16"/>
    </w:rPr>
  </w:style>
  <w:style w:type="paragraph" w:styleId="NormalWeb">
    <w:name w:val="Normal (Web)"/>
    <w:basedOn w:val="Normal"/>
    <w:uiPriority w:val="99"/>
    <w:semiHidden/>
    <w:unhideWhenUsed/>
    <w:rsid w:val="00DA10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rm">
    <w:name w:val="term"/>
    <w:basedOn w:val="DefaultParagraphFont"/>
    <w:rsid w:val="00DA1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826666">
      <w:bodyDiv w:val="1"/>
      <w:marLeft w:val="0"/>
      <w:marRight w:val="0"/>
      <w:marTop w:val="0"/>
      <w:marBottom w:val="0"/>
      <w:divBdr>
        <w:top w:val="none" w:sz="0" w:space="0" w:color="auto"/>
        <w:left w:val="none" w:sz="0" w:space="0" w:color="auto"/>
        <w:bottom w:val="none" w:sz="0" w:space="0" w:color="auto"/>
        <w:right w:val="none" w:sz="0" w:space="0" w:color="auto"/>
      </w:divBdr>
    </w:div>
    <w:div w:id="139234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East Lancs Hospitals NHS Trust</Company>
  <LinksUpToDate>false</LinksUpToDate>
  <CharactersWithSpaces>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2020-01-13T10:11:00Z</dcterms:created>
  <dcterms:modified xsi:type="dcterms:W3CDTF">2020-01-13T14:44:00Z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43a85e2c-fc15-4fdd-a351-6c69e18f3175</vt:lpwstr>
  </property>
</Properties>
</file>