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11349" w14:textId="77777777" w:rsidR="00A42502" w:rsidRDefault="00D014EE" w:rsidP="00D014EE">
      <w:pPr>
        <w:pStyle w:val="Title"/>
      </w:pPr>
      <w:r>
        <w:t>RESEARCH ABSTRACT</w:t>
      </w:r>
    </w:p>
    <w:p w14:paraId="78ADDF36" w14:textId="20C08DFD" w:rsidR="009230C5" w:rsidRPr="00303371" w:rsidRDefault="00A42502" w:rsidP="00303371">
      <w:pPr>
        <w:pStyle w:val="Title"/>
        <w:rPr>
          <w:sz w:val="28"/>
          <w:szCs w:val="28"/>
        </w:rPr>
      </w:pPr>
      <w:r w:rsidRPr="00303371">
        <w:rPr>
          <w:i/>
          <w:iCs/>
          <w:color w:val="808080" w:themeColor="text1" w:themeTint="7F"/>
          <w:sz w:val="28"/>
          <w:szCs w:val="28"/>
        </w:rPr>
        <w:t>A comparison of Non-invasive Coronary CT angiography (CCTA) diagnostic value, to Conventional in</w:t>
      </w:r>
      <w:r w:rsidR="00BE23A2" w:rsidRPr="00303371">
        <w:rPr>
          <w:i/>
          <w:iCs/>
          <w:color w:val="808080" w:themeColor="text1" w:themeTint="7F"/>
          <w:sz w:val="28"/>
          <w:szCs w:val="28"/>
        </w:rPr>
        <w:t>vasive Coronary Angiography (CAG</w:t>
      </w:r>
      <w:r w:rsidRPr="00303371">
        <w:rPr>
          <w:i/>
          <w:iCs/>
          <w:color w:val="808080" w:themeColor="text1" w:themeTint="7F"/>
          <w:sz w:val="28"/>
          <w:szCs w:val="28"/>
        </w:rPr>
        <w:t>), the gold standard, in low-intermediate CVD risk patients, in The NHC, Royal Hospital</w:t>
      </w:r>
    </w:p>
    <w:p w14:paraId="41591905" w14:textId="77777777" w:rsidR="00A42502" w:rsidRPr="007C5820" w:rsidRDefault="00A42502" w:rsidP="001E5FD9">
      <w:pPr>
        <w:pStyle w:val="Heading2"/>
        <w:spacing w:before="0"/>
        <w:rPr>
          <w:rStyle w:val="Emphasis"/>
          <w:color w:val="1D1B11" w:themeColor="background2" w:themeShade="1A"/>
        </w:rPr>
      </w:pPr>
      <w:r w:rsidRPr="007C5820">
        <w:rPr>
          <w:rStyle w:val="Emphasis"/>
          <w:color w:val="1D1B11" w:themeColor="background2" w:themeShade="1A"/>
        </w:rPr>
        <w:t>By:</w:t>
      </w:r>
      <w:r w:rsidR="00FA45BA" w:rsidRPr="007C5820">
        <w:rPr>
          <w:rStyle w:val="Emphasis"/>
          <w:color w:val="1D1B11" w:themeColor="background2" w:themeShade="1A"/>
        </w:rPr>
        <w:t xml:space="preserve"> Dr. Khadija Sulaiman Al-Adawi</w:t>
      </w:r>
    </w:p>
    <w:p w14:paraId="1221BF25" w14:textId="7B389E03" w:rsidR="00A42502" w:rsidRDefault="007C5820" w:rsidP="001E5FD9">
      <w:pPr>
        <w:pStyle w:val="Heading2"/>
        <w:spacing w:before="0"/>
        <w:rPr>
          <w:rStyle w:val="Emphasis"/>
          <w:color w:val="1D1B11" w:themeColor="background2" w:themeShade="1A"/>
        </w:rPr>
      </w:pPr>
      <w:r>
        <w:rPr>
          <w:rStyle w:val="Emphasis"/>
          <w:color w:val="1D1B11" w:themeColor="background2" w:themeShade="1A"/>
        </w:rPr>
        <w:t xml:space="preserve">Research </w:t>
      </w:r>
      <w:r w:rsidR="00A42502" w:rsidRPr="007C5820">
        <w:rPr>
          <w:rStyle w:val="Emphasis"/>
          <w:color w:val="1D1B11" w:themeColor="background2" w:themeShade="1A"/>
        </w:rPr>
        <w:t>Supervisor: Dr. Faiza Al-Kindi</w:t>
      </w:r>
    </w:p>
    <w:p w14:paraId="1331FECC" w14:textId="000898A1" w:rsidR="001E5FD9" w:rsidRPr="001E5FD9" w:rsidRDefault="001E5FD9" w:rsidP="001E5FD9">
      <w:pPr>
        <w:pStyle w:val="Heading2"/>
        <w:spacing w:before="0"/>
        <w:rPr>
          <w:rStyle w:val="Emphasis"/>
          <w:color w:val="1D1B11" w:themeColor="background2" w:themeShade="1A"/>
        </w:rPr>
      </w:pPr>
      <w:r w:rsidRPr="001E5FD9">
        <w:rPr>
          <w:rStyle w:val="Emphasis"/>
          <w:color w:val="1D1B11" w:themeColor="background2" w:themeShade="1A"/>
        </w:rPr>
        <w:t>December 2018</w:t>
      </w:r>
    </w:p>
    <w:p w14:paraId="7D9C063B" w14:textId="77777777" w:rsidR="00BE23A2" w:rsidRDefault="00BE23A2" w:rsidP="00BE23A2"/>
    <w:p w14:paraId="65A804CF" w14:textId="3BEE3DB4" w:rsidR="00BE23A2" w:rsidRPr="007C5820" w:rsidRDefault="00BE23A2" w:rsidP="007C5820">
      <w:pPr>
        <w:pStyle w:val="Subtitle"/>
        <w:rPr>
          <w:rStyle w:val="IntenseEmphasis"/>
        </w:rPr>
      </w:pPr>
      <w:r w:rsidRPr="007C5820">
        <w:rPr>
          <w:rStyle w:val="IntenseEmphasis"/>
        </w:rPr>
        <w:t>Objectives:</w:t>
      </w:r>
    </w:p>
    <w:p w14:paraId="14F5EAEA" w14:textId="156C6A59" w:rsidR="00BE23A2" w:rsidRPr="007C5820" w:rsidRDefault="007C5820" w:rsidP="00303371">
      <w:pPr>
        <w:pStyle w:val="NoSpacing"/>
        <w:jc w:val="both"/>
        <w:rPr>
          <w:i/>
          <w:iCs/>
        </w:rPr>
      </w:pPr>
      <w:r w:rsidRPr="00A42502">
        <w:t>Our hypothesis is to prove that CCTA in our National Heart Center has a similar negative predictive value to international research outcomes, considering the variations we have with CT machines, equipment, technicians and reading radiologists.</w:t>
      </w:r>
      <w:r>
        <w:t xml:space="preserve"> Numerous</w:t>
      </w:r>
      <w:r w:rsidR="008103DB">
        <w:t xml:space="preserve"> Interna</w:t>
      </w:r>
      <w:r>
        <w:t>tional studies have been done on the local level reflecting a high negative predictive value for CCTA (approximately 99%)</w:t>
      </w:r>
      <w:r w:rsidR="008103DB">
        <w:t>, the largest being The Promise Trial</w:t>
      </w:r>
      <w:r w:rsidR="008103DB">
        <w:rPr>
          <w:rStyle w:val="FootnoteReference"/>
        </w:rPr>
        <w:footnoteReference w:id="1"/>
      </w:r>
      <w:r w:rsidR="008103DB">
        <w:t xml:space="preserve">. </w:t>
      </w:r>
    </w:p>
    <w:p w14:paraId="1233E50D" w14:textId="307CC42A" w:rsidR="008103DB" w:rsidRPr="00BE23A2" w:rsidRDefault="008103DB" w:rsidP="00303371">
      <w:pPr>
        <w:jc w:val="both"/>
      </w:pPr>
      <w:r>
        <w:t xml:space="preserve">Proving the above should aid in setting guidelines and standardized practice of care for patients in the low-intermediate risk group presenting with coronary vascular symptoms </w:t>
      </w:r>
      <w:r>
        <w:lastRenderedPageBreak/>
        <w:t>(stable angina). Doing so would allow a reduction in radiation exposure (eliminate patients unnecessarily undergoing both studies CCTA and CAG), reduce workload on hospital/appointment back-up, bed occupation (CAG requires admission), unnecessary undergoing of invasive procedure of CAG with its higher likelihood of adverse reactions</w:t>
      </w:r>
      <w:r>
        <w:rPr>
          <w:rStyle w:val="FootnoteReference"/>
        </w:rPr>
        <w:footnoteReference w:id="2"/>
      </w:r>
      <w:r>
        <w:t xml:space="preserve">, and </w:t>
      </w:r>
      <w:bookmarkStart w:id="0" w:name="_GoBack"/>
      <w:bookmarkEnd w:id="0"/>
      <w:r>
        <w:t>of course cost-efficiency of these publicly provided services</w:t>
      </w:r>
      <w:r>
        <w:rPr>
          <w:rStyle w:val="FootnoteReference"/>
        </w:rPr>
        <w:footnoteReference w:id="3"/>
      </w:r>
      <w:r>
        <w:t xml:space="preserve">. </w:t>
      </w:r>
    </w:p>
    <w:p w14:paraId="55FED4B7" w14:textId="4A8B315C" w:rsidR="00BE23A2" w:rsidRPr="007C5820" w:rsidRDefault="00BE23A2" w:rsidP="007C5820">
      <w:pPr>
        <w:pStyle w:val="Subtitle"/>
        <w:rPr>
          <w:rStyle w:val="IntenseEmphasis"/>
        </w:rPr>
      </w:pPr>
      <w:r w:rsidRPr="007C5820">
        <w:rPr>
          <w:rStyle w:val="IntenseEmphasis"/>
        </w:rPr>
        <w:t>Methods:</w:t>
      </w:r>
    </w:p>
    <w:p w14:paraId="17B68F72" w14:textId="74D5EE31" w:rsidR="00BE23A2" w:rsidRDefault="00BE23A2" w:rsidP="00BE23A2">
      <w:pPr>
        <w:pStyle w:val="NoSpacing"/>
        <w:jc w:val="both"/>
        <w:rPr>
          <w:rStyle w:val="Emphasis"/>
        </w:rPr>
      </w:pPr>
      <w:r w:rsidRPr="00A42502">
        <w:t>It is a retrospective study conducted over the course of 5 years, beginning in 2012 (the introduction of cardiac CT to Oman) and ending in November 2017. It is based in one center, the National Heart Center of Oman.</w:t>
      </w:r>
      <w:r>
        <w:t xml:space="preserve">  Ethical approval to perform the study was received from the Ministry of Health in 2015. Patients having had undergone both Cardiac CT followed by CAG in that time period, and classified to be low-intermediate risk for coronary artery disease were included in the study. Patients under the age of 18, and patients who had major cardiac surgery/stenting, or a </w:t>
      </w:r>
      <w:r>
        <w:lastRenderedPageBreak/>
        <w:t xml:space="preserve">CAG prior to CT were excluded from the study. The end sample size was 314. Data was collected from the Al-Shifa PACS system. Conclusions of CCTA and CAG were based on finalized reports. A coronary artery of 70% or more was considered to be significant, with a coronary artery of 69% or less considered to be non-significant.  Four coronary vessels were studied (LAD, RCA, LCX and LMA). Proximal, middle and distal segments were evaluated further in LAD, RCA and LCX. LMA was further divided into origin/proximal and distal LMA. A total of 1,256 vessels were studied, 3.454 segments, in 314 patients, in a 5-year period. A comparison was made between the outcomes of cardiac CT and coronary angiography (gold-standard), to calculate sensitivity, specificity, negative predictive value, positive predictive value, positive likelihood ratio and negative likelihood ratio using the chi-squared test and Pearson correlation co-efficient. </w:t>
      </w:r>
    </w:p>
    <w:p w14:paraId="58F17DF9" w14:textId="437A9458" w:rsidR="00BE23A2" w:rsidRPr="007C5820" w:rsidRDefault="00BE23A2" w:rsidP="007C5820">
      <w:pPr>
        <w:pStyle w:val="Subtitle"/>
        <w:rPr>
          <w:rStyle w:val="IntenseEmphasis"/>
        </w:rPr>
      </w:pPr>
      <w:r w:rsidRPr="007C5820">
        <w:rPr>
          <w:rStyle w:val="IntenseEmphasis"/>
        </w:rPr>
        <w:t xml:space="preserve">Results: </w:t>
      </w:r>
    </w:p>
    <w:p w14:paraId="2708B565" w14:textId="3566BCEE" w:rsidR="00BE23A2" w:rsidRPr="00E65D9C" w:rsidRDefault="00BE23A2" w:rsidP="007017D1">
      <w:pPr>
        <w:pStyle w:val="NoSpacing"/>
        <w:jc w:val="both"/>
      </w:pPr>
      <w:r w:rsidRPr="00E65D9C">
        <w:t xml:space="preserve">RCA overall sensitivity was 100% [96.152%-100% Confidence </w:t>
      </w:r>
      <w:r w:rsidR="00E65D9C" w:rsidRPr="00E65D9C">
        <w:t>interval</w:t>
      </w:r>
      <w:r w:rsidR="00E65D9C">
        <w:t xml:space="preserve"> </w:t>
      </w:r>
      <w:r w:rsidRPr="00E65D9C">
        <w:t>(</w:t>
      </w:r>
      <w:r w:rsidR="00F41593">
        <w:t>CI), AUC: 1.00], specificity 99.681% [98.223%-99.992</w:t>
      </w:r>
      <w:r w:rsidRPr="00E65D9C">
        <w:t>% CI, AUC:</w:t>
      </w:r>
      <w:r w:rsidR="00E65D9C">
        <w:t xml:space="preserve"> </w:t>
      </w:r>
      <w:r w:rsidR="00F41593">
        <w:t>0.498], negative likelihood ratio 1.03</w:t>
      </w:r>
      <w:r w:rsidRPr="00E65D9C">
        <w:t>, positive predictive value 100%, negative predictive</w:t>
      </w:r>
      <w:r w:rsidR="00F41593">
        <w:t xml:space="preserve"> value 99.681</w:t>
      </w:r>
      <w:r w:rsidRPr="00E65D9C">
        <w:t>%</w:t>
      </w:r>
      <w:r w:rsidR="00F41593">
        <w:t xml:space="preserve"> [99.679-99.683%</w:t>
      </w:r>
      <w:r w:rsidRPr="00E65D9C">
        <w:t xml:space="preserve">. </w:t>
      </w:r>
    </w:p>
    <w:p w14:paraId="35857770" w14:textId="62E54576" w:rsidR="00BE23A2" w:rsidRPr="00E65D9C" w:rsidRDefault="00F41593" w:rsidP="007017D1">
      <w:pPr>
        <w:pStyle w:val="NoSpacing"/>
        <w:jc w:val="both"/>
      </w:pPr>
      <w:r>
        <w:t>LCX overall sensitivity, 50.000% [6.759-93.241%]</w:t>
      </w:r>
      <w:r w:rsidR="00BE23A2" w:rsidRPr="00E65D9C">
        <w:t xml:space="preserve">, </w:t>
      </w:r>
      <w:r>
        <w:t>specificity 99.677% [98.216-99.992</w:t>
      </w:r>
      <w:r w:rsidR="00E65D9C" w:rsidRPr="00E65D9C">
        <w:t>],</w:t>
      </w:r>
      <w:r>
        <w:t xml:space="preserve"> positive likelihood ratio 155.000 [17.373-1382.906]</w:t>
      </w:r>
      <w:r w:rsidR="00E65D9C" w:rsidRPr="00E65D9C">
        <w:t>, negative likelihood ratio 0.</w:t>
      </w:r>
      <w:r>
        <w:t>502</w:t>
      </w:r>
      <w:r w:rsidRPr="00E65D9C">
        <w:t xml:space="preserve"> </w:t>
      </w:r>
      <w:r w:rsidR="00E65D9C" w:rsidRPr="00E65D9C">
        <w:t>[0.298-0.545], positive</w:t>
      </w:r>
      <w:r>
        <w:t xml:space="preserve"> predictive value 66.667% [18.312-94</w:t>
      </w:r>
      <w:r w:rsidR="00E65D9C" w:rsidRPr="00E65D9C">
        <w:t xml:space="preserve">.379%], </w:t>
      </w:r>
      <w:r>
        <w:t>negative predictive value 99.357% [98.305-99.758</w:t>
      </w:r>
      <w:r w:rsidR="00E65D9C" w:rsidRPr="00E65D9C">
        <w:t xml:space="preserve">%]. </w:t>
      </w:r>
    </w:p>
    <w:p w14:paraId="601AC23F" w14:textId="3753F1E6" w:rsidR="00E65D9C" w:rsidRPr="00E65D9C" w:rsidRDefault="00E65D9C" w:rsidP="007017D1">
      <w:pPr>
        <w:pStyle w:val="NoSpacing"/>
        <w:jc w:val="both"/>
      </w:pPr>
      <w:r w:rsidRPr="00E65D9C">
        <w:t xml:space="preserve">LMA overall sensitivity 100% [47.818-100%], specificity 100% [98.813-100%, AUC: 1.00], negative likelihood ratio 0.00, positive predictive value 100%, negative predictive value 100%. </w:t>
      </w:r>
    </w:p>
    <w:p w14:paraId="799F37E8" w14:textId="3E826CD8" w:rsidR="00BE23A2" w:rsidRPr="007017D1" w:rsidRDefault="00F41593" w:rsidP="007017D1">
      <w:pPr>
        <w:pStyle w:val="NoSpacing"/>
        <w:jc w:val="both"/>
        <w:rPr>
          <w:rStyle w:val="Emphasis"/>
          <w:i w:val="0"/>
          <w:iCs w:val="0"/>
        </w:rPr>
      </w:pPr>
      <w:r>
        <w:t>LAD overall sensitivity 40% [5.274-85.337</w:t>
      </w:r>
      <w:r w:rsidR="00E65D9C" w:rsidRPr="00E65D9C">
        <w:t xml:space="preserve">%], </w:t>
      </w:r>
      <w:r>
        <w:t>specificity 99.676% [98.210-99.992%, AUC: 0.698</w:t>
      </w:r>
      <w:r w:rsidR="00E65D9C" w:rsidRPr="00E65D9C">
        <w:t>],</w:t>
      </w:r>
      <w:r>
        <w:t xml:space="preserve"> positive likelihood ratio 123.600 [13.264-1151.79</w:t>
      </w:r>
      <w:r w:rsidR="00E65D9C" w:rsidRPr="00E65D9C">
        <w:t>],</w:t>
      </w:r>
      <w:r>
        <w:t xml:space="preserve"> negative likelihood ratio 0.602[0.294-1.231</w:t>
      </w:r>
      <w:r w:rsidR="00E65D9C" w:rsidRPr="00E65D9C">
        <w:t xml:space="preserve">], </w:t>
      </w:r>
      <w:r>
        <w:t>positive predictive value 66.667</w:t>
      </w:r>
      <w:r w:rsidR="001873FD">
        <w:t>% [17.671-94.907</w:t>
      </w:r>
      <w:r w:rsidR="00E65D9C" w:rsidRPr="00E65D9C">
        <w:t>87.240%], negative predictive</w:t>
      </w:r>
      <w:r w:rsidR="001873FD">
        <w:t xml:space="preserve"> value 99.046% [98.046-99.526</w:t>
      </w:r>
      <w:r w:rsidR="00E65D9C" w:rsidRPr="00E65D9C">
        <w:t xml:space="preserve">%]. </w:t>
      </w:r>
    </w:p>
    <w:p w14:paraId="4E1FBA39" w14:textId="3237F041" w:rsidR="00BE23A2" w:rsidRPr="007017D1" w:rsidRDefault="00BE23A2" w:rsidP="007C5820">
      <w:pPr>
        <w:pStyle w:val="Subtitle"/>
        <w:rPr>
          <w:rStyle w:val="IntenseEmphasis"/>
        </w:rPr>
      </w:pPr>
      <w:r w:rsidRPr="007017D1">
        <w:rPr>
          <w:rStyle w:val="IntenseEmphasis"/>
        </w:rPr>
        <w:t xml:space="preserve">Conclusion: </w:t>
      </w:r>
    </w:p>
    <w:p w14:paraId="78DF85F3" w14:textId="124CF12C" w:rsidR="00A42502" w:rsidRDefault="008103DB" w:rsidP="007017D1">
      <w:pPr>
        <w:pStyle w:val="NoSpacing"/>
        <w:jc w:val="both"/>
      </w:pPr>
      <w:r w:rsidRPr="007017D1">
        <w:t xml:space="preserve">All vessel segments showed a high specificity and negative predictive value, although sensitivity </w:t>
      </w:r>
      <w:r w:rsidR="001873FD" w:rsidRPr="007017D1">
        <w:t>was on the lower side e.g. LAD 40%. This proves our hypothesis that CCTA is sufficient to exclude disease in low-intermediate risk group, not necessitating further imaging. The low sensitivity may be attributed to variations in anatomical naming: cardiac radiologist specialist naming a vessel segment as “proximal” with cardiologists naming as “middle”. This may have been overcome with a prospective study with standardized rules for naming and standardized reports amongst blinded readers. The low sensitivity does however follow international literature findings</w:t>
      </w:r>
      <w:r w:rsidR="001873FD" w:rsidRPr="007017D1">
        <w:rPr>
          <w:vertAlign w:val="superscript"/>
        </w:rPr>
        <w:footnoteReference w:id="4"/>
      </w:r>
      <w:r w:rsidR="007017D1">
        <w:t>.</w:t>
      </w:r>
    </w:p>
    <w:p w14:paraId="2EF57838" w14:textId="3BD86E01" w:rsidR="007017D1" w:rsidRPr="007017D1" w:rsidRDefault="007017D1" w:rsidP="00303371">
      <w:pPr>
        <w:jc w:val="both"/>
      </w:pPr>
      <w:r>
        <w:tab/>
      </w:r>
      <w:r>
        <w:tab/>
      </w:r>
    </w:p>
    <w:sectPr w:rsidR="007017D1" w:rsidRPr="007017D1" w:rsidSect="00303371">
      <w:footerReference w:type="even" r:id="rId7"/>
      <w:footerReference w:type="default" r:id="rId8"/>
      <w:pgSz w:w="12240" w:h="15840"/>
      <w:pgMar w:top="1440" w:right="1800" w:bottom="1440" w:left="180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05997A" w14:textId="77777777" w:rsidR="007C5820" w:rsidRDefault="007C5820" w:rsidP="008103DB">
      <w:r>
        <w:separator/>
      </w:r>
    </w:p>
  </w:endnote>
  <w:endnote w:type="continuationSeparator" w:id="0">
    <w:p w14:paraId="700B5B20" w14:textId="77777777" w:rsidR="007C5820" w:rsidRDefault="007C5820" w:rsidP="00810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AFE76" w14:textId="77777777" w:rsidR="00303371" w:rsidRDefault="00303371" w:rsidP="00CF08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6D44A" w14:textId="77777777" w:rsidR="00303371" w:rsidRDefault="00303371" w:rsidP="0030337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04593" w14:textId="77777777" w:rsidR="00303371" w:rsidRDefault="00303371" w:rsidP="00CF08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53CD">
      <w:rPr>
        <w:rStyle w:val="PageNumber"/>
        <w:noProof/>
      </w:rPr>
      <w:t>1</w:t>
    </w:r>
    <w:r>
      <w:rPr>
        <w:rStyle w:val="PageNumber"/>
      </w:rPr>
      <w:fldChar w:fldCharType="end"/>
    </w:r>
  </w:p>
  <w:p w14:paraId="71140CE9" w14:textId="77777777" w:rsidR="00303371" w:rsidRDefault="00303371" w:rsidP="0030337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2E24C" w14:textId="77777777" w:rsidR="007C5820" w:rsidRDefault="007C5820" w:rsidP="008103DB">
      <w:r>
        <w:separator/>
      </w:r>
    </w:p>
  </w:footnote>
  <w:footnote w:type="continuationSeparator" w:id="0">
    <w:p w14:paraId="74845DC8" w14:textId="77777777" w:rsidR="007C5820" w:rsidRDefault="007C5820" w:rsidP="008103DB">
      <w:r>
        <w:continuationSeparator/>
      </w:r>
    </w:p>
  </w:footnote>
  <w:footnote w:id="1">
    <w:p w14:paraId="03324010" w14:textId="77777777" w:rsidR="007C5820" w:rsidRPr="008103DB" w:rsidRDefault="007C5820" w:rsidP="008103DB">
      <w:pPr>
        <w:pStyle w:val="FootnoteText"/>
        <w:rPr>
          <w:sz w:val="20"/>
          <w:szCs w:val="20"/>
        </w:rPr>
      </w:pPr>
      <w:r>
        <w:rPr>
          <w:rStyle w:val="FootnoteReference"/>
        </w:rPr>
        <w:footnoteRef/>
      </w:r>
      <w:r>
        <w:t xml:space="preserve"> </w:t>
      </w:r>
      <w:r w:rsidRPr="008103DB">
        <w:rPr>
          <w:bCs/>
          <w:sz w:val="22"/>
          <w:szCs w:val="22"/>
        </w:rPr>
        <w:t>T</w:t>
      </w:r>
      <w:r w:rsidRPr="008103DB">
        <w:rPr>
          <w:bCs/>
          <w:sz w:val="20"/>
          <w:szCs w:val="20"/>
        </w:rPr>
        <w:t>he PROMISE Trial: The CTA Perspective - American College of Cardiology. American College of Cardiology. https://www.acc.org/latest-in-cardiology/articles/2015/07/27/10/58/the-promise-trial-the-cta-perspective. Published 2015. Accessed October 8, 2018</w:t>
      </w:r>
    </w:p>
    <w:p w14:paraId="218A629A" w14:textId="67A6BB60" w:rsidR="007C5820" w:rsidRDefault="007C5820">
      <w:pPr>
        <w:pStyle w:val="FootnoteText"/>
      </w:pPr>
    </w:p>
  </w:footnote>
  <w:footnote w:id="2">
    <w:p w14:paraId="1D83BA06" w14:textId="77777777" w:rsidR="007C5820" w:rsidRPr="008103DB" w:rsidRDefault="007C5820" w:rsidP="008103DB">
      <w:pPr>
        <w:pStyle w:val="FootnoteText"/>
      </w:pPr>
      <w:r>
        <w:rPr>
          <w:rStyle w:val="FootnoteReference"/>
        </w:rPr>
        <w:footnoteRef/>
      </w:r>
      <w:r>
        <w:t xml:space="preserve"> </w:t>
      </w:r>
      <w:r w:rsidRPr="008103DB">
        <w:rPr>
          <w:sz w:val="20"/>
          <w:szCs w:val="20"/>
        </w:rPr>
        <w:t>Dewey M, Rief M, Martus P et al. Evaluation of computed tomography in patients with atypical angina or chest pain clinically referred for invasive coronary angiography: randomised controlled trial. </w:t>
      </w:r>
      <w:r w:rsidRPr="008103DB">
        <w:rPr>
          <w:i/>
          <w:iCs/>
          <w:sz w:val="20"/>
          <w:szCs w:val="20"/>
        </w:rPr>
        <w:t>BMJ</w:t>
      </w:r>
      <w:r w:rsidRPr="008103DB">
        <w:rPr>
          <w:sz w:val="20"/>
          <w:szCs w:val="20"/>
        </w:rPr>
        <w:t>. 2016:i5441. doi:10.1136/bmj.i5441</w:t>
      </w:r>
      <w:r w:rsidRPr="008103DB">
        <w:t xml:space="preserve"> </w:t>
      </w:r>
    </w:p>
    <w:p w14:paraId="3D7E41CB" w14:textId="64EC5281" w:rsidR="007C5820" w:rsidRDefault="007C5820">
      <w:pPr>
        <w:pStyle w:val="FootnoteText"/>
      </w:pPr>
    </w:p>
  </w:footnote>
  <w:footnote w:id="3">
    <w:p w14:paraId="550E51CB" w14:textId="77777777" w:rsidR="007C5820" w:rsidRPr="008103DB" w:rsidRDefault="007C5820" w:rsidP="008103DB">
      <w:pPr>
        <w:pStyle w:val="FootnoteText"/>
      </w:pPr>
      <w:r>
        <w:rPr>
          <w:rStyle w:val="FootnoteReference"/>
        </w:rPr>
        <w:footnoteRef/>
      </w:r>
      <w:r>
        <w:t xml:space="preserve"> </w:t>
      </w:r>
      <w:r w:rsidRPr="008103DB">
        <w:rPr>
          <w:sz w:val="20"/>
          <w:szCs w:val="20"/>
        </w:rPr>
        <w:t>CONSERVE: Selective, CT-Guided Catheterization vs. Direct Catheterization For Stable CAD Patients - American College of Cardiology. American College of Cardiology. https://www.acc.org/latest-in-cardiology/articles/2016/08/26/17/20/9am-mon-conserve-direct-catheterization-vs-selective-catheterization-guided-by-cct-in-patients-with-stable-suspected-cad-esc-2016. Published 2018. Accessed October 8, 2018</w:t>
      </w:r>
      <w:r w:rsidRPr="008103DB">
        <w:t xml:space="preserve"> </w:t>
      </w:r>
    </w:p>
    <w:p w14:paraId="4F215B7A" w14:textId="3D884424" w:rsidR="007C5820" w:rsidRDefault="007C5820">
      <w:pPr>
        <w:pStyle w:val="FootnoteText"/>
      </w:pPr>
    </w:p>
  </w:footnote>
  <w:footnote w:id="4">
    <w:p w14:paraId="5CC61E39" w14:textId="349B99D7" w:rsidR="007C5820" w:rsidRDefault="007C5820">
      <w:pPr>
        <w:pStyle w:val="FootnoteText"/>
      </w:pPr>
      <w:r>
        <w:rPr>
          <w:rStyle w:val="FootnoteReference"/>
        </w:rPr>
        <w:footnoteRef/>
      </w:r>
      <w:r>
        <w:t xml:space="preserve"> </w:t>
      </w:r>
      <w:r w:rsidRPr="001873FD">
        <w:rPr>
          <w:bCs/>
          <w:sz w:val="20"/>
          <w:szCs w:val="20"/>
        </w:rPr>
        <w:t>Galperin-Aizenberg M, Cook T, Hollander J, Litt H. Cardiac CT Angiography in the Emergency Department. </w:t>
      </w:r>
      <w:r w:rsidRPr="001873FD">
        <w:rPr>
          <w:bCs/>
          <w:i/>
          <w:iCs/>
          <w:sz w:val="20"/>
          <w:szCs w:val="20"/>
        </w:rPr>
        <w:t>American Journal of Roentgenology</w:t>
      </w:r>
      <w:r w:rsidRPr="001873FD">
        <w:rPr>
          <w:bCs/>
          <w:sz w:val="20"/>
          <w:szCs w:val="20"/>
        </w:rPr>
        <w:t>. 2015;204(3):463-474. doi:10.2214/ajr.14.12657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4EE"/>
    <w:rsid w:val="0011796B"/>
    <w:rsid w:val="001873FD"/>
    <w:rsid w:val="001E5FD9"/>
    <w:rsid w:val="002D7DFD"/>
    <w:rsid w:val="00303371"/>
    <w:rsid w:val="006600F9"/>
    <w:rsid w:val="007017D1"/>
    <w:rsid w:val="007C5820"/>
    <w:rsid w:val="008103DB"/>
    <w:rsid w:val="008C01B9"/>
    <w:rsid w:val="009230C5"/>
    <w:rsid w:val="009653CD"/>
    <w:rsid w:val="00A30AF3"/>
    <w:rsid w:val="00A42502"/>
    <w:rsid w:val="00BE23A2"/>
    <w:rsid w:val="00D014EE"/>
    <w:rsid w:val="00E65D9C"/>
    <w:rsid w:val="00F41593"/>
    <w:rsid w:val="00FA4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A67F3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4250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14E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014EE"/>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A42502"/>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A42502"/>
    <w:rPr>
      <w:i/>
      <w:iCs/>
      <w:color w:val="808080" w:themeColor="text1" w:themeTint="7F"/>
    </w:rPr>
  </w:style>
  <w:style w:type="paragraph" w:styleId="NoSpacing">
    <w:name w:val="No Spacing"/>
    <w:uiPriority w:val="1"/>
    <w:qFormat/>
    <w:rsid w:val="00BE23A2"/>
  </w:style>
  <w:style w:type="character" w:styleId="Emphasis">
    <w:name w:val="Emphasis"/>
    <w:basedOn w:val="DefaultParagraphFont"/>
    <w:uiPriority w:val="20"/>
    <w:qFormat/>
    <w:rsid w:val="00BE23A2"/>
    <w:rPr>
      <w:i/>
      <w:iCs/>
    </w:rPr>
  </w:style>
  <w:style w:type="paragraph" w:styleId="FootnoteText">
    <w:name w:val="footnote text"/>
    <w:basedOn w:val="Normal"/>
    <w:link w:val="FootnoteTextChar"/>
    <w:uiPriority w:val="99"/>
    <w:unhideWhenUsed/>
    <w:rsid w:val="008103DB"/>
  </w:style>
  <w:style w:type="character" w:customStyle="1" w:styleId="FootnoteTextChar">
    <w:name w:val="Footnote Text Char"/>
    <w:basedOn w:val="DefaultParagraphFont"/>
    <w:link w:val="FootnoteText"/>
    <w:uiPriority w:val="99"/>
    <w:rsid w:val="008103DB"/>
  </w:style>
  <w:style w:type="character" w:styleId="FootnoteReference">
    <w:name w:val="footnote reference"/>
    <w:basedOn w:val="DefaultParagraphFont"/>
    <w:uiPriority w:val="99"/>
    <w:unhideWhenUsed/>
    <w:rsid w:val="008103DB"/>
    <w:rPr>
      <w:vertAlign w:val="superscript"/>
    </w:rPr>
  </w:style>
  <w:style w:type="paragraph" w:styleId="NormalWeb">
    <w:name w:val="Normal (Web)"/>
    <w:basedOn w:val="Normal"/>
    <w:uiPriority w:val="99"/>
    <w:semiHidden/>
    <w:unhideWhenUsed/>
    <w:rsid w:val="008103DB"/>
    <w:pPr>
      <w:spacing w:before="100" w:beforeAutospacing="1" w:after="100" w:afterAutospacing="1"/>
    </w:pPr>
    <w:rPr>
      <w:rFonts w:ascii="Times New Roman" w:hAnsi="Times New Roman" w:cs="Times New Roman"/>
      <w:sz w:val="20"/>
      <w:szCs w:val="20"/>
    </w:rPr>
  </w:style>
  <w:style w:type="paragraph" w:styleId="Subtitle">
    <w:name w:val="Subtitle"/>
    <w:basedOn w:val="Normal"/>
    <w:next w:val="Normal"/>
    <w:link w:val="SubtitleChar"/>
    <w:uiPriority w:val="11"/>
    <w:qFormat/>
    <w:rsid w:val="007C582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C5820"/>
    <w:rPr>
      <w:rFonts w:asciiTheme="majorHAnsi" w:eastAsiaTheme="majorEastAsia" w:hAnsiTheme="majorHAnsi" w:cstheme="majorBidi"/>
      <w:i/>
      <w:iCs/>
      <w:color w:val="4F81BD" w:themeColor="accent1"/>
      <w:spacing w:val="15"/>
    </w:rPr>
  </w:style>
  <w:style w:type="character" w:styleId="IntenseEmphasis">
    <w:name w:val="Intense Emphasis"/>
    <w:basedOn w:val="DefaultParagraphFont"/>
    <w:uiPriority w:val="21"/>
    <w:qFormat/>
    <w:rsid w:val="007C5820"/>
    <w:rPr>
      <w:b/>
      <w:bCs/>
      <w:i/>
      <w:iCs/>
      <w:color w:val="4F81BD" w:themeColor="accent1"/>
    </w:rPr>
  </w:style>
  <w:style w:type="paragraph" w:styleId="Header">
    <w:name w:val="header"/>
    <w:basedOn w:val="Normal"/>
    <w:link w:val="HeaderChar"/>
    <w:uiPriority w:val="99"/>
    <w:unhideWhenUsed/>
    <w:rsid w:val="007017D1"/>
    <w:pPr>
      <w:tabs>
        <w:tab w:val="center" w:pos="4320"/>
        <w:tab w:val="right" w:pos="8640"/>
      </w:tabs>
    </w:pPr>
  </w:style>
  <w:style w:type="character" w:customStyle="1" w:styleId="HeaderChar">
    <w:name w:val="Header Char"/>
    <w:basedOn w:val="DefaultParagraphFont"/>
    <w:link w:val="Header"/>
    <w:uiPriority w:val="99"/>
    <w:rsid w:val="007017D1"/>
  </w:style>
  <w:style w:type="paragraph" w:styleId="Footer">
    <w:name w:val="footer"/>
    <w:basedOn w:val="Normal"/>
    <w:link w:val="FooterChar"/>
    <w:uiPriority w:val="99"/>
    <w:unhideWhenUsed/>
    <w:rsid w:val="007017D1"/>
    <w:pPr>
      <w:tabs>
        <w:tab w:val="center" w:pos="4320"/>
        <w:tab w:val="right" w:pos="8640"/>
      </w:tabs>
    </w:pPr>
  </w:style>
  <w:style w:type="character" w:customStyle="1" w:styleId="FooterChar">
    <w:name w:val="Footer Char"/>
    <w:basedOn w:val="DefaultParagraphFont"/>
    <w:link w:val="Footer"/>
    <w:uiPriority w:val="99"/>
    <w:rsid w:val="007017D1"/>
  </w:style>
  <w:style w:type="character" w:styleId="PageNumber">
    <w:name w:val="page number"/>
    <w:basedOn w:val="DefaultParagraphFont"/>
    <w:uiPriority w:val="99"/>
    <w:semiHidden/>
    <w:unhideWhenUsed/>
    <w:rsid w:val="0030337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4250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14E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014EE"/>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A42502"/>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A42502"/>
    <w:rPr>
      <w:i/>
      <w:iCs/>
      <w:color w:val="808080" w:themeColor="text1" w:themeTint="7F"/>
    </w:rPr>
  </w:style>
  <w:style w:type="paragraph" w:styleId="NoSpacing">
    <w:name w:val="No Spacing"/>
    <w:uiPriority w:val="1"/>
    <w:qFormat/>
    <w:rsid w:val="00BE23A2"/>
  </w:style>
  <w:style w:type="character" w:styleId="Emphasis">
    <w:name w:val="Emphasis"/>
    <w:basedOn w:val="DefaultParagraphFont"/>
    <w:uiPriority w:val="20"/>
    <w:qFormat/>
    <w:rsid w:val="00BE23A2"/>
    <w:rPr>
      <w:i/>
      <w:iCs/>
    </w:rPr>
  </w:style>
  <w:style w:type="paragraph" w:styleId="FootnoteText">
    <w:name w:val="footnote text"/>
    <w:basedOn w:val="Normal"/>
    <w:link w:val="FootnoteTextChar"/>
    <w:uiPriority w:val="99"/>
    <w:unhideWhenUsed/>
    <w:rsid w:val="008103DB"/>
  </w:style>
  <w:style w:type="character" w:customStyle="1" w:styleId="FootnoteTextChar">
    <w:name w:val="Footnote Text Char"/>
    <w:basedOn w:val="DefaultParagraphFont"/>
    <w:link w:val="FootnoteText"/>
    <w:uiPriority w:val="99"/>
    <w:rsid w:val="008103DB"/>
  </w:style>
  <w:style w:type="character" w:styleId="FootnoteReference">
    <w:name w:val="footnote reference"/>
    <w:basedOn w:val="DefaultParagraphFont"/>
    <w:uiPriority w:val="99"/>
    <w:unhideWhenUsed/>
    <w:rsid w:val="008103DB"/>
    <w:rPr>
      <w:vertAlign w:val="superscript"/>
    </w:rPr>
  </w:style>
  <w:style w:type="paragraph" w:styleId="NormalWeb">
    <w:name w:val="Normal (Web)"/>
    <w:basedOn w:val="Normal"/>
    <w:uiPriority w:val="99"/>
    <w:semiHidden/>
    <w:unhideWhenUsed/>
    <w:rsid w:val="008103DB"/>
    <w:pPr>
      <w:spacing w:before="100" w:beforeAutospacing="1" w:after="100" w:afterAutospacing="1"/>
    </w:pPr>
    <w:rPr>
      <w:rFonts w:ascii="Times New Roman" w:hAnsi="Times New Roman" w:cs="Times New Roman"/>
      <w:sz w:val="20"/>
      <w:szCs w:val="20"/>
    </w:rPr>
  </w:style>
  <w:style w:type="paragraph" w:styleId="Subtitle">
    <w:name w:val="Subtitle"/>
    <w:basedOn w:val="Normal"/>
    <w:next w:val="Normal"/>
    <w:link w:val="SubtitleChar"/>
    <w:uiPriority w:val="11"/>
    <w:qFormat/>
    <w:rsid w:val="007C582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C5820"/>
    <w:rPr>
      <w:rFonts w:asciiTheme="majorHAnsi" w:eastAsiaTheme="majorEastAsia" w:hAnsiTheme="majorHAnsi" w:cstheme="majorBidi"/>
      <w:i/>
      <w:iCs/>
      <w:color w:val="4F81BD" w:themeColor="accent1"/>
      <w:spacing w:val="15"/>
    </w:rPr>
  </w:style>
  <w:style w:type="character" w:styleId="IntenseEmphasis">
    <w:name w:val="Intense Emphasis"/>
    <w:basedOn w:val="DefaultParagraphFont"/>
    <w:uiPriority w:val="21"/>
    <w:qFormat/>
    <w:rsid w:val="007C5820"/>
    <w:rPr>
      <w:b/>
      <w:bCs/>
      <w:i/>
      <w:iCs/>
      <w:color w:val="4F81BD" w:themeColor="accent1"/>
    </w:rPr>
  </w:style>
  <w:style w:type="paragraph" w:styleId="Header">
    <w:name w:val="header"/>
    <w:basedOn w:val="Normal"/>
    <w:link w:val="HeaderChar"/>
    <w:uiPriority w:val="99"/>
    <w:unhideWhenUsed/>
    <w:rsid w:val="007017D1"/>
    <w:pPr>
      <w:tabs>
        <w:tab w:val="center" w:pos="4320"/>
        <w:tab w:val="right" w:pos="8640"/>
      </w:tabs>
    </w:pPr>
  </w:style>
  <w:style w:type="character" w:customStyle="1" w:styleId="HeaderChar">
    <w:name w:val="Header Char"/>
    <w:basedOn w:val="DefaultParagraphFont"/>
    <w:link w:val="Header"/>
    <w:uiPriority w:val="99"/>
    <w:rsid w:val="007017D1"/>
  </w:style>
  <w:style w:type="paragraph" w:styleId="Footer">
    <w:name w:val="footer"/>
    <w:basedOn w:val="Normal"/>
    <w:link w:val="FooterChar"/>
    <w:uiPriority w:val="99"/>
    <w:unhideWhenUsed/>
    <w:rsid w:val="007017D1"/>
    <w:pPr>
      <w:tabs>
        <w:tab w:val="center" w:pos="4320"/>
        <w:tab w:val="right" w:pos="8640"/>
      </w:tabs>
    </w:pPr>
  </w:style>
  <w:style w:type="character" w:customStyle="1" w:styleId="FooterChar">
    <w:name w:val="Footer Char"/>
    <w:basedOn w:val="DefaultParagraphFont"/>
    <w:link w:val="Footer"/>
    <w:uiPriority w:val="99"/>
    <w:rsid w:val="007017D1"/>
  </w:style>
  <w:style w:type="character" w:styleId="PageNumber">
    <w:name w:val="page number"/>
    <w:basedOn w:val="DefaultParagraphFont"/>
    <w:uiPriority w:val="99"/>
    <w:semiHidden/>
    <w:unhideWhenUsed/>
    <w:rsid w:val="00303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35382">
      <w:bodyDiv w:val="1"/>
      <w:marLeft w:val="0"/>
      <w:marRight w:val="0"/>
      <w:marTop w:val="0"/>
      <w:marBottom w:val="0"/>
      <w:divBdr>
        <w:top w:val="none" w:sz="0" w:space="0" w:color="auto"/>
        <w:left w:val="none" w:sz="0" w:space="0" w:color="auto"/>
        <w:bottom w:val="none" w:sz="0" w:space="0" w:color="auto"/>
        <w:right w:val="none" w:sz="0" w:space="0" w:color="auto"/>
      </w:divBdr>
    </w:div>
    <w:div w:id="605773346">
      <w:bodyDiv w:val="1"/>
      <w:marLeft w:val="0"/>
      <w:marRight w:val="0"/>
      <w:marTop w:val="0"/>
      <w:marBottom w:val="0"/>
      <w:divBdr>
        <w:top w:val="none" w:sz="0" w:space="0" w:color="auto"/>
        <w:left w:val="none" w:sz="0" w:space="0" w:color="auto"/>
        <w:bottom w:val="none" w:sz="0" w:space="0" w:color="auto"/>
        <w:right w:val="none" w:sz="0" w:space="0" w:color="auto"/>
      </w:divBdr>
    </w:div>
    <w:div w:id="612589064">
      <w:bodyDiv w:val="1"/>
      <w:marLeft w:val="0"/>
      <w:marRight w:val="0"/>
      <w:marTop w:val="0"/>
      <w:marBottom w:val="0"/>
      <w:divBdr>
        <w:top w:val="none" w:sz="0" w:space="0" w:color="auto"/>
        <w:left w:val="none" w:sz="0" w:space="0" w:color="auto"/>
        <w:bottom w:val="none" w:sz="0" w:space="0" w:color="auto"/>
        <w:right w:val="none" w:sz="0" w:space="0" w:color="auto"/>
      </w:divBdr>
    </w:div>
    <w:div w:id="1581065910">
      <w:bodyDiv w:val="1"/>
      <w:marLeft w:val="0"/>
      <w:marRight w:val="0"/>
      <w:marTop w:val="0"/>
      <w:marBottom w:val="0"/>
      <w:divBdr>
        <w:top w:val="none" w:sz="0" w:space="0" w:color="auto"/>
        <w:left w:val="none" w:sz="0" w:space="0" w:color="auto"/>
        <w:bottom w:val="none" w:sz="0" w:space="0" w:color="auto"/>
        <w:right w:val="none" w:sz="0" w:space="0" w:color="auto"/>
      </w:divBdr>
    </w:div>
    <w:div w:id="16524440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3901</Characters>
  <Application>Microsoft Macintosh Word</Application>
  <DocSecurity>0</DocSecurity>
  <Lines>32</Lines>
  <Paragraphs>9</Paragraphs>
  <ScaleCrop>false</ScaleCrop>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 Al-Adawi</dc:creator>
  <cp:keywords/>
  <dc:description/>
  <cp:lastModifiedBy>Khadija Al-Adawi</cp:lastModifiedBy>
  <cp:revision>2</cp:revision>
  <dcterms:created xsi:type="dcterms:W3CDTF">2018-11-20T11:48:00Z</dcterms:created>
  <dcterms:modified xsi:type="dcterms:W3CDTF">2018-11-20T11:48:00Z</dcterms:modified>
</cp:coreProperties>
</file>