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53F0" w:rsidRPr="00C053F0" w:rsidRDefault="00C053F0" w:rsidP="00C053F0">
      <w:pPr>
        <w:jc w:val="center"/>
        <w:rPr>
          <w:rFonts w:ascii="Cambria" w:hAnsi="Cambria"/>
          <w:b/>
          <w:sz w:val="28"/>
          <w:szCs w:val="26"/>
        </w:rPr>
      </w:pPr>
      <w:r w:rsidRPr="00C053F0">
        <w:rPr>
          <w:rFonts w:ascii="Cambria" w:hAnsi="Cambria"/>
          <w:b/>
          <w:sz w:val="28"/>
          <w:szCs w:val="26"/>
        </w:rPr>
        <w:t xml:space="preserve">Disseminated </w:t>
      </w:r>
      <w:r w:rsidRPr="00C053F0">
        <w:rPr>
          <w:rFonts w:ascii="Cambria" w:hAnsi="Cambria"/>
          <w:b/>
          <w:i/>
          <w:sz w:val="28"/>
          <w:szCs w:val="26"/>
        </w:rPr>
        <w:t>Corynebacterium jeikeium</w:t>
      </w:r>
      <w:r w:rsidRPr="00C053F0">
        <w:rPr>
          <w:rFonts w:ascii="Cambria" w:hAnsi="Cambria"/>
          <w:b/>
          <w:sz w:val="28"/>
          <w:szCs w:val="26"/>
        </w:rPr>
        <w:t xml:space="preserve"> Infection in Two Patients with Acute Myelogenous Leukemia</w:t>
      </w:r>
    </w:p>
    <w:p w:rsidR="00C053F0" w:rsidRDefault="00C053F0" w:rsidP="00C053F0">
      <w:pPr>
        <w:spacing w:line="480" w:lineRule="auto"/>
        <w:rPr>
          <w:rFonts w:ascii="Cambria" w:hAnsi="Cambria" w:cs="Times New Roman"/>
          <w:b/>
          <w:sz w:val="26"/>
          <w:szCs w:val="26"/>
        </w:rPr>
      </w:pPr>
    </w:p>
    <w:p w:rsidR="00C053F0" w:rsidRPr="00C053F0" w:rsidRDefault="00C053F0" w:rsidP="00C053F0">
      <w:pPr>
        <w:spacing w:line="480" w:lineRule="auto"/>
        <w:jc w:val="center"/>
        <w:rPr>
          <w:rFonts w:ascii="Cambria" w:hAnsi="Cambria" w:cs="Times New Roman"/>
          <w:sz w:val="26"/>
          <w:szCs w:val="26"/>
        </w:rPr>
      </w:pPr>
      <w:r w:rsidRPr="00C053F0">
        <w:rPr>
          <w:rFonts w:ascii="Cambria" w:hAnsi="Cambria" w:cs="Times New Roman"/>
          <w:sz w:val="26"/>
          <w:szCs w:val="26"/>
        </w:rPr>
        <w:t>Raj H. Patel, B.S.</w:t>
      </w:r>
    </w:p>
    <w:p w:rsidR="00C053F0" w:rsidRDefault="00C053F0" w:rsidP="00C053F0">
      <w:pPr>
        <w:rPr>
          <w:rFonts w:ascii="Cambria" w:hAnsi="Cambria"/>
          <w:b/>
          <w:sz w:val="26"/>
          <w:szCs w:val="26"/>
        </w:rPr>
      </w:pPr>
    </w:p>
    <w:p w:rsidR="00C053F0" w:rsidRPr="00C053F0" w:rsidRDefault="00C053F0" w:rsidP="00C053F0">
      <w:pPr>
        <w:rPr>
          <w:rFonts w:ascii="Cambria" w:hAnsi="Cambria"/>
          <w:b/>
          <w:sz w:val="26"/>
          <w:szCs w:val="26"/>
        </w:rPr>
      </w:pPr>
      <w:bookmarkStart w:id="0" w:name="_GoBack"/>
      <w:bookmarkEnd w:id="0"/>
      <w:r w:rsidRPr="00C053F0">
        <w:rPr>
          <w:rFonts w:ascii="Cambria" w:hAnsi="Cambria"/>
          <w:b/>
          <w:sz w:val="26"/>
          <w:szCs w:val="26"/>
        </w:rPr>
        <w:t>ABSTRACT</w:t>
      </w:r>
    </w:p>
    <w:p w:rsidR="00C053F0" w:rsidRPr="00C053F0" w:rsidRDefault="00C053F0" w:rsidP="00C053F0">
      <w:pPr>
        <w:rPr>
          <w:rFonts w:ascii="Cambria" w:hAnsi="Cambria"/>
          <w:b/>
          <w:sz w:val="26"/>
          <w:szCs w:val="26"/>
        </w:rPr>
      </w:pPr>
    </w:p>
    <w:p w:rsidR="00C053F0" w:rsidRPr="00C053F0" w:rsidRDefault="00C053F0" w:rsidP="00C053F0">
      <w:pPr>
        <w:spacing w:line="360" w:lineRule="auto"/>
        <w:rPr>
          <w:rFonts w:ascii="Cambria" w:hAnsi="Cambria"/>
          <w:sz w:val="26"/>
          <w:szCs w:val="26"/>
        </w:rPr>
      </w:pPr>
      <w:r w:rsidRPr="00C053F0">
        <w:rPr>
          <w:rFonts w:ascii="Cambria" w:hAnsi="Cambria"/>
          <w:i/>
          <w:sz w:val="26"/>
          <w:szCs w:val="26"/>
        </w:rPr>
        <w:t>Corynebacterium jeikeium</w:t>
      </w:r>
      <w:r w:rsidRPr="00C053F0">
        <w:rPr>
          <w:rFonts w:ascii="Cambria" w:hAnsi="Cambria"/>
          <w:sz w:val="26"/>
          <w:szCs w:val="26"/>
        </w:rPr>
        <w:t xml:space="preserve"> is one of the most clinically important </w:t>
      </w:r>
      <w:proofErr w:type="spellStart"/>
      <w:r w:rsidRPr="00C053F0">
        <w:rPr>
          <w:rFonts w:ascii="Cambria" w:hAnsi="Cambria"/>
          <w:sz w:val="26"/>
          <w:szCs w:val="26"/>
        </w:rPr>
        <w:t>nondiphtherial</w:t>
      </w:r>
      <w:proofErr w:type="spellEnd"/>
      <w:r w:rsidRPr="00C053F0">
        <w:rPr>
          <w:rFonts w:ascii="Cambria" w:hAnsi="Cambria"/>
          <w:sz w:val="26"/>
          <w:szCs w:val="26"/>
        </w:rPr>
        <w:t xml:space="preserve"> </w:t>
      </w:r>
      <w:proofErr w:type="spellStart"/>
      <w:r w:rsidRPr="00C053F0">
        <w:rPr>
          <w:rFonts w:ascii="Cambria" w:hAnsi="Cambria"/>
          <w:sz w:val="26"/>
          <w:szCs w:val="26"/>
        </w:rPr>
        <w:t>Corynebacteria</w:t>
      </w:r>
      <w:proofErr w:type="spellEnd"/>
      <w:r w:rsidRPr="00C053F0">
        <w:rPr>
          <w:rFonts w:ascii="Cambria" w:hAnsi="Cambria"/>
          <w:sz w:val="26"/>
          <w:szCs w:val="26"/>
        </w:rPr>
        <w:t xml:space="preserve"> in the acute care setting that can cause different forms of infections, especially in immunocompromised patients with underlying risk factors and co-morbidities. </w:t>
      </w:r>
      <w:r w:rsidRPr="00C053F0">
        <w:rPr>
          <w:rFonts w:ascii="Cambria" w:hAnsi="Cambria"/>
          <w:i/>
          <w:sz w:val="26"/>
          <w:szCs w:val="26"/>
        </w:rPr>
        <w:t>C. jeikeium</w:t>
      </w:r>
      <w:r w:rsidRPr="00C053F0">
        <w:rPr>
          <w:rFonts w:ascii="Cambria" w:hAnsi="Cambria"/>
          <w:sz w:val="26"/>
          <w:szCs w:val="26"/>
        </w:rPr>
        <w:t xml:space="preserve"> was initially described in 1976 as a highly resistant coryneform bacteria causing severe sepsis in patients with hematologic malignancies and profound neutropenia and in one patient with a ventricular CSF shunt [1]. Here, we present two cases of disseminated </w:t>
      </w:r>
      <w:r w:rsidRPr="00C053F0">
        <w:rPr>
          <w:rFonts w:ascii="Cambria" w:hAnsi="Cambria"/>
          <w:i/>
          <w:sz w:val="26"/>
          <w:szCs w:val="26"/>
        </w:rPr>
        <w:t>Corynebacterium jeikeium</w:t>
      </w:r>
      <w:r w:rsidRPr="00C053F0">
        <w:rPr>
          <w:rFonts w:ascii="Cambria" w:hAnsi="Cambria"/>
          <w:sz w:val="26"/>
          <w:szCs w:val="26"/>
        </w:rPr>
        <w:t xml:space="preserve"> infection in patients being treated for acute myelogenous leukemia (AML) with other underlying co-morbidities. Both patients presented with an impending neutropenic fever resistant to initial antibiotic therapy.</w:t>
      </w:r>
    </w:p>
    <w:p w:rsidR="00C053F0" w:rsidRDefault="00C053F0"/>
    <w:sectPr w:rsidR="00C053F0" w:rsidSect="00A82E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Body CS)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1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3F0"/>
    <w:rsid w:val="00524E0D"/>
    <w:rsid w:val="00A82EC8"/>
    <w:rsid w:val="00C05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A85CFC"/>
  <w15:chartTrackingRefBased/>
  <w15:docId w15:val="{4BF77F4A-C248-3A4C-9581-E90D18E73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 (Body CS)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053F0"/>
    <w:pPr>
      <w:spacing w:after="160" w:line="259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760</Characters>
  <Application>Microsoft Office Word</Application>
  <DocSecurity>0</DocSecurity>
  <Lines>6</Lines>
  <Paragraphs>1</Paragraphs>
  <ScaleCrop>false</ScaleCrop>
  <Company/>
  <LinksUpToDate>false</LinksUpToDate>
  <CharactersWithSpaces>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Patel, Raj</dc:creator>
  <cp:keywords/>
  <dc:description/>
  <cp:lastModifiedBy>Patel, Raj</cp:lastModifiedBy>
  <cp:revision>1</cp:revision>
  <dcterms:created xsi:type="dcterms:W3CDTF">2020-03-01T19:31:00Z</dcterms:created>
  <dcterms:modified xsi:type="dcterms:W3CDTF">2020-03-01T19:33:00Z</dcterms:modified>
</cp:coreProperties>
</file>