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E83CE" w14:textId="01B21728" w:rsidR="00415BF9" w:rsidRDefault="00415BF9" w:rsidP="00415BF9">
      <w:pPr>
        <w:spacing w:line="240" w:lineRule="auto"/>
        <w:rPr>
          <w:b/>
          <w:bCs/>
          <w:lang w:val="en-GB"/>
        </w:rPr>
      </w:pPr>
      <w:r>
        <w:rPr>
          <w:b/>
          <w:bCs/>
          <w:lang w:val="en-GB"/>
        </w:rPr>
        <w:t>A Turn for the Worse</w:t>
      </w:r>
    </w:p>
    <w:p w14:paraId="282EF93A" w14:textId="4D25291B" w:rsidR="00415BF9" w:rsidRDefault="00415BF9" w:rsidP="00415BF9">
      <w:pPr>
        <w:spacing w:line="240" w:lineRule="auto"/>
        <w:rPr>
          <w:b/>
          <w:bCs/>
          <w:lang w:val="en-GB"/>
        </w:rPr>
      </w:pPr>
      <w:r>
        <w:rPr>
          <w:b/>
          <w:bCs/>
          <w:lang w:val="en-GB"/>
        </w:rPr>
        <w:t xml:space="preserve">Jane Burns, Jonathan </w:t>
      </w:r>
      <w:proofErr w:type="spellStart"/>
      <w:r>
        <w:rPr>
          <w:b/>
          <w:bCs/>
          <w:lang w:val="en-GB"/>
        </w:rPr>
        <w:t>Soye</w:t>
      </w:r>
      <w:proofErr w:type="spellEnd"/>
      <w:r>
        <w:rPr>
          <w:b/>
          <w:bCs/>
          <w:lang w:val="en-GB"/>
        </w:rPr>
        <w:t xml:space="preserve">, </w:t>
      </w:r>
    </w:p>
    <w:p w14:paraId="25A6BE23" w14:textId="21525DE5" w:rsidR="00415BF9" w:rsidRDefault="00415BF9" w:rsidP="00415BF9">
      <w:pPr>
        <w:spacing w:line="240" w:lineRule="auto"/>
        <w:rPr>
          <w:b/>
          <w:bCs/>
          <w:lang w:val="en-GB"/>
        </w:rPr>
      </w:pPr>
      <w:r>
        <w:rPr>
          <w:b/>
          <w:bCs/>
          <w:lang w:val="en-GB"/>
        </w:rPr>
        <w:t xml:space="preserve">Our Lady of Lourdes, Drogheda, Co. Louth, Ireland </w:t>
      </w:r>
    </w:p>
    <w:p w14:paraId="6FE8E1EC" w14:textId="4042511D" w:rsidR="00415BF9" w:rsidRDefault="00415BF9" w:rsidP="00415BF9">
      <w:pPr>
        <w:spacing w:line="240" w:lineRule="auto"/>
        <w:rPr>
          <w:b/>
          <w:bCs/>
          <w:lang w:val="en-GB"/>
        </w:rPr>
      </w:pPr>
      <w:r>
        <w:rPr>
          <w:b/>
          <w:bCs/>
          <w:lang w:val="en-GB"/>
        </w:rPr>
        <w:t xml:space="preserve">Abstract: </w:t>
      </w:r>
    </w:p>
    <w:p w14:paraId="566238F1" w14:textId="77777777" w:rsidR="00415BF9" w:rsidRPr="00415BF9" w:rsidRDefault="00415BF9" w:rsidP="00415BF9">
      <w:pPr>
        <w:spacing w:line="240" w:lineRule="auto"/>
        <w:rPr>
          <w:lang w:val="en-GB"/>
        </w:rPr>
      </w:pPr>
      <w:r w:rsidRPr="00415BF9">
        <w:rPr>
          <w:lang w:val="en-GB"/>
        </w:rPr>
        <w:t xml:space="preserve">A </w:t>
      </w:r>
      <w:proofErr w:type="gramStart"/>
      <w:r w:rsidRPr="00415BF9">
        <w:rPr>
          <w:lang w:val="en-GB"/>
        </w:rPr>
        <w:t>51 year-old</w:t>
      </w:r>
      <w:proofErr w:type="gramEnd"/>
      <w:r w:rsidRPr="00415BF9">
        <w:rPr>
          <w:lang w:val="en-GB"/>
        </w:rPr>
        <w:t xml:space="preserve"> gentleman had multiple admissions with left iliac fossa pain, guarding and nausea. He was initially treated as acute diverticulitis. Initial imaging appeared to confirm this. However, with recurrent presentations and further review he was found to have acute left-sided appendicitis with a midgut malrotation. He was initially treated with antibiotics and subsequently developed an abscess which required intra-abdominal drain insertion. After MDM discussion, it became apparent that this gentleman had a midgut malrotation. He had an uncomplicated open appendicectomy.</w:t>
      </w:r>
    </w:p>
    <w:p w14:paraId="1C297D1E" w14:textId="60A64E3F" w:rsidR="00415BF9" w:rsidRPr="00415BF9" w:rsidRDefault="00415BF9" w:rsidP="00415BF9">
      <w:pPr>
        <w:spacing w:line="240" w:lineRule="auto"/>
        <w:rPr>
          <w:lang w:val="en-GB"/>
        </w:rPr>
      </w:pPr>
      <w:r w:rsidRPr="00415BF9">
        <w:rPr>
          <w:lang w:val="en-GB"/>
        </w:rPr>
        <w:t>Midgut malrotation is a common congenital anomaly due to non-rotation or incomplete rotation of the primitive intestinal loop around the SMA during foetal development. CT often detects the anomaly as an incidental finding in adults. This case is a good example of how an unrelated intra-abdominal pathology may lead to an atypical clinical picture.</w:t>
      </w:r>
    </w:p>
    <w:p w14:paraId="019C4148" w14:textId="77777777" w:rsidR="00415BF9" w:rsidRDefault="00415BF9" w:rsidP="00415BF9">
      <w:pPr>
        <w:spacing w:line="240" w:lineRule="auto"/>
        <w:rPr>
          <w:b/>
          <w:bCs/>
          <w:lang w:val="en-GB"/>
        </w:rPr>
      </w:pPr>
    </w:p>
    <w:p w14:paraId="54700AEF" w14:textId="7EB1AF3A" w:rsidR="00415BF9" w:rsidRPr="007A5CF4" w:rsidRDefault="00415BF9" w:rsidP="00415BF9">
      <w:pPr>
        <w:spacing w:line="240" w:lineRule="auto"/>
        <w:rPr>
          <w:b/>
          <w:bCs/>
          <w:lang w:val="en-GB"/>
        </w:rPr>
      </w:pPr>
      <w:r w:rsidRPr="007A5CF4">
        <w:rPr>
          <w:b/>
          <w:bCs/>
          <w:lang w:val="en-GB"/>
        </w:rPr>
        <w:t>Introduction:</w:t>
      </w:r>
    </w:p>
    <w:p w14:paraId="69605008" w14:textId="77777777" w:rsidR="00415BF9" w:rsidRPr="00450777" w:rsidRDefault="00415BF9" w:rsidP="00415BF9">
      <w:pPr>
        <w:spacing w:line="240" w:lineRule="auto"/>
        <w:rPr>
          <w:rFonts w:eastAsia="Times New Roman" w:cs="Calibri"/>
          <w:color w:val="000000"/>
          <w:shd w:val="clear" w:color="auto" w:fill="FFFFFF"/>
          <w:lang w:eastAsia="en-GB"/>
        </w:rPr>
      </w:pPr>
      <w:r w:rsidRPr="00B25BD6">
        <w:rPr>
          <w:rFonts w:eastAsia="Times New Roman" w:cs="Calibri"/>
          <w:color w:val="000000"/>
          <w:lang w:eastAsia="en-GB"/>
        </w:rPr>
        <w:t>Midgut malrotation is a common congenital anomaly due to nonrotation or incomplete rotation of the primitive intestinal loop around the SMA during foetal development</w:t>
      </w:r>
      <w:r w:rsidRPr="00B25BD6">
        <w:rPr>
          <w:rFonts w:eastAsia="Times New Roman" w:cs="Calibri"/>
          <w:color w:val="000000"/>
          <w:vertAlign w:val="superscript"/>
          <w:lang w:eastAsia="en-GB"/>
        </w:rPr>
        <w:t>1</w:t>
      </w:r>
      <w:r w:rsidRPr="00B25BD6">
        <w:rPr>
          <w:rFonts w:eastAsia="Times New Roman" w:cs="Calibri"/>
          <w:color w:val="000000"/>
          <w:lang w:eastAsia="en-GB"/>
        </w:rPr>
        <w:t xml:space="preserve">. It occurs in about 1 in 500 births, with most cases presenting before 1 year. The most severe presentation is with volvulus, which constitutes a surgical emergency. Over 75% of cases present by five years old. Therefore, it is often considered a disease of childhood. However, literature estimates the incidence in adults to be between </w:t>
      </w:r>
      <w:r w:rsidRPr="00450777">
        <w:rPr>
          <w:rFonts w:eastAsia="Times New Roman" w:cs="Calibri"/>
          <w:color w:val="000000"/>
          <w:shd w:val="clear" w:color="auto" w:fill="FFFFFF"/>
          <w:lang w:eastAsia="en-GB"/>
        </w:rPr>
        <w:t>0.0001 to 0.19%</w:t>
      </w:r>
      <w:r>
        <w:rPr>
          <w:rFonts w:eastAsia="Times New Roman" w:cs="Calibri"/>
          <w:color w:val="000000"/>
          <w:shd w:val="clear" w:color="auto" w:fill="FFFFFF"/>
          <w:vertAlign w:val="superscript"/>
          <w:lang w:eastAsia="en-GB"/>
        </w:rPr>
        <w:t>2</w:t>
      </w:r>
      <w:r>
        <w:rPr>
          <w:rFonts w:eastAsia="Times New Roman" w:cs="Calibri"/>
          <w:color w:val="000000"/>
          <w:shd w:val="clear" w:color="auto" w:fill="FFFFFF"/>
          <w:lang w:eastAsia="en-GB"/>
        </w:rPr>
        <w:t>. A</w:t>
      </w:r>
      <w:r w:rsidRPr="00450777">
        <w:rPr>
          <w:rFonts w:eastAsia="Times New Roman" w:cs="Calibri"/>
          <w:color w:val="000000"/>
          <w:shd w:val="clear" w:color="auto" w:fill="FFFFFF"/>
          <w:lang w:eastAsia="en-GB"/>
        </w:rPr>
        <w:t xml:space="preserve">s many cases are asymptomatic, it is difficult to estimate true prevalence. In adults, it may be an incidental finding and can act as a confounding factor in common presentations, like acute appendicitis. This can lead to delayed diagnosis, prolonged hospital stays and significant morbidity, as highlighted by this case. </w:t>
      </w:r>
    </w:p>
    <w:p w14:paraId="2EEB419D" w14:textId="77777777" w:rsidR="00415BF9" w:rsidRPr="00450777" w:rsidRDefault="00415BF9" w:rsidP="00415BF9">
      <w:pPr>
        <w:spacing w:line="240" w:lineRule="auto"/>
        <w:rPr>
          <w:lang w:val="en-GB"/>
        </w:rPr>
      </w:pPr>
    </w:p>
    <w:p w14:paraId="1240DD6F" w14:textId="77777777" w:rsidR="00415BF9" w:rsidRPr="007A5CF4" w:rsidRDefault="00415BF9" w:rsidP="00415BF9">
      <w:pPr>
        <w:spacing w:line="240" w:lineRule="auto"/>
        <w:rPr>
          <w:b/>
          <w:bCs/>
          <w:lang w:val="en-GB"/>
        </w:rPr>
      </w:pPr>
      <w:r w:rsidRPr="007A5CF4">
        <w:rPr>
          <w:b/>
          <w:bCs/>
          <w:lang w:val="en-GB"/>
        </w:rPr>
        <w:t xml:space="preserve">Case: </w:t>
      </w:r>
    </w:p>
    <w:p w14:paraId="5D7BA40B" w14:textId="77777777" w:rsidR="00415BF9" w:rsidRPr="00450777" w:rsidRDefault="00415BF9" w:rsidP="00415BF9">
      <w:pPr>
        <w:spacing w:line="240" w:lineRule="auto"/>
        <w:rPr>
          <w:lang w:val="en-GB"/>
        </w:rPr>
      </w:pPr>
      <w:r w:rsidRPr="00450777">
        <w:rPr>
          <w:lang w:val="en-GB"/>
        </w:rPr>
        <w:t xml:space="preserve">A 51-year-old gentleman with no background medical history, presented with sudden onset severe epigastric pain, nausea, poor appetite and vomiting for one day. On examination, he </w:t>
      </w:r>
      <w:r>
        <w:rPr>
          <w:lang w:val="en-GB"/>
        </w:rPr>
        <w:t>displayed</w:t>
      </w:r>
      <w:r w:rsidRPr="00450777">
        <w:rPr>
          <w:lang w:val="en-GB"/>
        </w:rPr>
        <w:t xml:space="preserve"> rebound tenderness and guarding in the LIF</w:t>
      </w:r>
      <w:r>
        <w:rPr>
          <w:lang w:val="en-GB"/>
        </w:rPr>
        <w:t xml:space="preserve">, with raised </w:t>
      </w:r>
      <w:r w:rsidRPr="00450777">
        <w:rPr>
          <w:lang w:val="en-GB"/>
        </w:rPr>
        <w:t>inflammatory markers</w:t>
      </w:r>
      <w:r>
        <w:rPr>
          <w:lang w:val="en-GB"/>
        </w:rPr>
        <w:t>. H</w:t>
      </w:r>
      <w:r w:rsidRPr="00450777">
        <w:rPr>
          <w:lang w:val="en-GB"/>
        </w:rPr>
        <w:t xml:space="preserve">e was commenced on IV co-amoxiclav for likely acute diverticulitis. CT-AP suggested </w:t>
      </w:r>
      <w:r>
        <w:rPr>
          <w:lang w:val="en-GB"/>
        </w:rPr>
        <w:t>this diagnosis</w:t>
      </w:r>
      <w:r w:rsidRPr="00450777">
        <w:rPr>
          <w:lang w:val="en-GB"/>
        </w:rPr>
        <w:t xml:space="preserve">. He responded to four days of IV </w:t>
      </w:r>
      <w:r>
        <w:rPr>
          <w:lang w:val="en-GB"/>
        </w:rPr>
        <w:t xml:space="preserve">therapy </w:t>
      </w:r>
      <w:r w:rsidRPr="00450777">
        <w:rPr>
          <w:lang w:val="en-GB"/>
        </w:rPr>
        <w:t>and</w:t>
      </w:r>
      <w:r>
        <w:rPr>
          <w:lang w:val="en-GB"/>
        </w:rPr>
        <w:t xml:space="preserve"> was</w:t>
      </w:r>
      <w:r w:rsidRPr="00450777">
        <w:rPr>
          <w:lang w:val="en-GB"/>
        </w:rPr>
        <w:t xml:space="preserve"> discharged on oral ciprofloxacin and metronidazole, in keeping with local antimicrobial guidelines</w:t>
      </w:r>
      <w:r>
        <w:rPr>
          <w:lang w:val="en-GB"/>
        </w:rPr>
        <w:t>. He was arranged to have a</w:t>
      </w:r>
      <w:r w:rsidRPr="00450777">
        <w:rPr>
          <w:lang w:val="en-GB"/>
        </w:rPr>
        <w:t xml:space="preserve"> full colonoscopy within 8 weeks. </w:t>
      </w:r>
    </w:p>
    <w:p w14:paraId="6B512717" w14:textId="77777777" w:rsidR="00415BF9" w:rsidRPr="00450777" w:rsidRDefault="00415BF9" w:rsidP="00415BF9">
      <w:pPr>
        <w:spacing w:line="240" w:lineRule="auto"/>
        <w:rPr>
          <w:lang w:val="en-GB"/>
        </w:rPr>
      </w:pPr>
    </w:p>
    <w:p w14:paraId="2355892E" w14:textId="77777777" w:rsidR="00415BF9" w:rsidRPr="00450777" w:rsidRDefault="00415BF9" w:rsidP="00415BF9">
      <w:pPr>
        <w:spacing w:line="240" w:lineRule="auto"/>
        <w:rPr>
          <w:lang w:val="en-GB"/>
        </w:rPr>
      </w:pPr>
      <w:r w:rsidRPr="00450777">
        <w:rPr>
          <w:lang w:val="en-GB"/>
        </w:rPr>
        <w:t>One week later, he re-presented</w:t>
      </w:r>
      <w:r>
        <w:rPr>
          <w:lang w:val="en-GB"/>
        </w:rPr>
        <w:t>,</w:t>
      </w:r>
      <w:r w:rsidRPr="00450777">
        <w:rPr>
          <w:lang w:val="en-GB"/>
        </w:rPr>
        <w:t xml:space="preserve"> distressed with persistent LIF pain, which did not resolve with the course of antibiotics. On exam, a</w:t>
      </w:r>
      <w:r>
        <w:rPr>
          <w:lang w:val="en-GB"/>
        </w:rPr>
        <w:t>n LIF</w:t>
      </w:r>
      <w:r w:rsidRPr="00450777">
        <w:rPr>
          <w:lang w:val="en-GB"/>
        </w:rPr>
        <w:t xml:space="preserve"> mass was palpated. He was commenced on </w:t>
      </w:r>
      <w:proofErr w:type="spellStart"/>
      <w:r>
        <w:rPr>
          <w:lang w:val="en-GB"/>
        </w:rPr>
        <w:t>Tazocin</w:t>
      </w:r>
      <w:proofErr w:type="spellEnd"/>
      <w:r>
        <w:rPr>
          <w:lang w:val="en-GB"/>
        </w:rPr>
        <w:t xml:space="preserve"> a</w:t>
      </w:r>
      <w:r w:rsidRPr="00450777">
        <w:rPr>
          <w:lang w:val="en-GB"/>
        </w:rPr>
        <w:t xml:space="preserve">nd gentamicin for a presumed diverticular abscess. Repeat </w:t>
      </w:r>
      <w:r>
        <w:rPr>
          <w:lang w:val="en-GB"/>
        </w:rPr>
        <w:t>CT</w:t>
      </w:r>
      <w:r w:rsidRPr="00450777">
        <w:rPr>
          <w:lang w:val="en-GB"/>
        </w:rPr>
        <w:t xml:space="preserve"> demonstrated an 11x11x9.5cm LIF abscess that appeared to be arising for the proximal sigmoid colon. The collection contained dense, calcified material, of uncertain aetiology, the largest </w:t>
      </w:r>
      <w:r>
        <w:rPr>
          <w:lang w:val="en-GB"/>
        </w:rPr>
        <w:t>measuring</w:t>
      </w:r>
      <w:r w:rsidRPr="00450777">
        <w:rPr>
          <w:lang w:val="en-GB"/>
        </w:rPr>
        <w:t xml:space="preserve"> 1.3cm. It was amenable to percutaneous drainage. During the </w:t>
      </w:r>
      <w:r>
        <w:rPr>
          <w:lang w:val="en-GB"/>
        </w:rPr>
        <w:t>drain insertion</w:t>
      </w:r>
      <w:r w:rsidRPr="00450777">
        <w:rPr>
          <w:lang w:val="en-GB"/>
        </w:rPr>
        <w:t>, 250ml of pus was aspirated immediately and a 14F pigtail catheter was left in situ. Unfortunately, he continued to spike temperatures and faecal matter began to drain.</w:t>
      </w:r>
      <w:r>
        <w:rPr>
          <w:lang w:val="en-GB"/>
        </w:rPr>
        <w:t xml:space="preserve"> </w:t>
      </w:r>
      <w:r w:rsidRPr="00450777">
        <w:rPr>
          <w:lang w:val="en-GB"/>
        </w:rPr>
        <w:t>As he was not improving clinically, the surgical team plan</w:t>
      </w:r>
      <w:r>
        <w:rPr>
          <w:lang w:val="en-GB"/>
        </w:rPr>
        <w:t>ned</w:t>
      </w:r>
      <w:r w:rsidRPr="00450777">
        <w:rPr>
          <w:lang w:val="en-GB"/>
        </w:rPr>
        <w:t xml:space="preserve"> for a Hartman</w:t>
      </w:r>
      <w:r>
        <w:rPr>
          <w:lang w:val="en-GB"/>
        </w:rPr>
        <w:t>n’</w:t>
      </w:r>
      <w:r w:rsidRPr="00450777">
        <w:rPr>
          <w:lang w:val="en-GB"/>
        </w:rPr>
        <w:t>s proced</w:t>
      </w:r>
      <w:r>
        <w:rPr>
          <w:lang w:val="en-GB"/>
        </w:rPr>
        <w:t xml:space="preserve">ure. </w:t>
      </w:r>
    </w:p>
    <w:p w14:paraId="237C6BE0" w14:textId="77777777" w:rsidR="00415BF9" w:rsidRPr="00450777" w:rsidRDefault="00415BF9" w:rsidP="00415BF9">
      <w:pPr>
        <w:spacing w:line="240" w:lineRule="auto"/>
        <w:rPr>
          <w:lang w:val="en-GB"/>
        </w:rPr>
      </w:pPr>
    </w:p>
    <w:p w14:paraId="774332C2" w14:textId="77777777" w:rsidR="00415BF9" w:rsidRPr="00450777" w:rsidRDefault="00415BF9" w:rsidP="00415BF9">
      <w:pPr>
        <w:spacing w:line="240" w:lineRule="auto"/>
        <w:rPr>
          <w:lang w:val="en-GB"/>
        </w:rPr>
      </w:pPr>
      <w:r w:rsidRPr="00450777">
        <w:rPr>
          <w:lang w:val="en-GB"/>
        </w:rPr>
        <w:t xml:space="preserve">His case was discussed at the radiology </w:t>
      </w:r>
      <w:proofErr w:type="gramStart"/>
      <w:r w:rsidRPr="00450777">
        <w:rPr>
          <w:lang w:val="en-GB"/>
        </w:rPr>
        <w:t>MDM</w:t>
      </w:r>
      <w:proofErr w:type="gramEnd"/>
      <w:r w:rsidRPr="00450777">
        <w:rPr>
          <w:lang w:val="en-GB"/>
        </w:rPr>
        <w:t xml:space="preserve"> and it was decided that prior to surgery, repeat imaging be done to assess if a fistula had developed between the bowel wall and the abscess, for interval change and to assess the position of the drain. These images were subsequently reviewed by a consultant radiologist with a special interest in paediatric radiology. It became apparent that there was a midgut malrotation, with the large bowel lying on the left and the small bowel on the right. The LIF abscess related to the caecal pole and </w:t>
      </w:r>
      <w:r>
        <w:rPr>
          <w:lang w:val="en-GB"/>
        </w:rPr>
        <w:t>likely</w:t>
      </w:r>
      <w:r w:rsidRPr="00450777">
        <w:rPr>
          <w:lang w:val="en-GB"/>
        </w:rPr>
        <w:t xml:space="preserve"> represented a perforated acute appendicitis with abscess formation. T</w:t>
      </w:r>
      <w:r>
        <w:rPr>
          <w:lang w:val="en-GB"/>
        </w:rPr>
        <w:t>he calcified materials noted on prior imaging were</w:t>
      </w:r>
      <w:r w:rsidRPr="00450777">
        <w:rPr>
          <w:lang w:val="en-GB"/>
        </w:rPr>
        <w:t xml:space="preserve"> appendicoliths. At this stage, the abscess had completely resolved. The case was subsequently re-discussed at </w:t>
      </w:r>
      <w:proofErr w:type="gramStart"/>
      <w:r w:rsidRPr="00450777">
        <w:rPr>
          <w:lang w:val="en-GB"/>
        </w:rPr>
        <w:t>MDM</w:t>
      </w:r>
      <w:proofErr w:type="gramEnd"/>
      <w:r w:rsidRPr="00450777">
        <w:rPr>
          <w:lang w:val="en-GB"/>
        </w:rPr>
        <w:t xml:space="preserve"> and it was decided that he be discharged with the drain in situ with outpatient follow-up to remove the drain and with the view to perform an interval appendicectomy.    </w:t>
      </w:r>
    </w:p>
    <w:p w14:paraId="67FF3A21" w14:textId="77777777" w:rsidR="00415BF9" w:rsidRPr="00450777" w:rsidRDefault="00415BF9" w:rsidP="00415BF9">
      <w:pPr>
        <w:spacing w:line="240" w:lineRule="auto"/>
        <w:rPr>
          <w:lang w:val="en-GB"/>
        </w:rPr>
      </w:pPr>
    </w:p>
    <w:p w14:paraId="4565F55B" w14:textId="77777777" w:rsidR="00415BF9" w:rsidRPr="00450777" w:rsidRDefault="00415BF9" w:rsidP="00415BF9">
      <w:pPr>
        <w:spacing w:line="240" w:lineRule="auto"/>
        <w:rPr>
          <w:lang w:val="en-GB"/>
        </w:rPr>
      </w:pPr>
      <w:r>
        <w:rPr>
          <w:lang w:val="en-GB"/>
        </w:rPr>
        <w:t xml:space="preserve">Unfortunately, post-drain removal, he developed worsening LIF pain, which CT confirmed to be a recurrence of </w:t>
      </w:r>
      <w:r w:rsidRPr="00450777">
        <w:rPr>
          <w:lang w:val="en-GB"/>
        </w:rPr>
        <w:t>a local</w:t>
      </w:r>
      <w:r>
        <w:rPr>
          <w:lang w:val="en-GB"/>
        </w:rPr>
        <w:t>ised collection in the LIF</w:t>
      </w:r>
      <w:r w:rsidRPr="00450777">
        <w:rPr>
          <w:lang w:val="en-GB"/>
        </w:rPr>
        <w:t xml:space="preserve">. At this stage, an open appendicectomy was performed with a drain left in situ for one week. He was discharged without complication. </w:t>
      </w:r>
    </w:p>
    <w:p w14:paraId="73827714" w14:textId="77777777" w:rsidR="00415BF9" w:rsidRDefault="00415BF9" w:rsidP="00415BF9">
      <w:pPr>
        <w:spacing w:line="240" w:lineRule="auto"/>
        <w:rPr>
          <w:lang w:val="en-GB"/>
        </w:rPr>
      </w:pPr>
    </w:p>
    <w:p w14:paraId="6F1F1DFE" w14:textId="77777777" w:rsidR="00415BF9" w:rsidRPr="007A5CF4" w:rsidRDefault="00415BF9" w:rsidP="00415BF9">
      <w:pPr>
        <w:spacing w:line="240" w:lineRule="auto"/>
        <w:rPr>
          <w:b/>
          <w:bCs/>
          <w:lang w:val="en-GB"/>
        </w:rPr>
      </w:pPr>
      <w:r w:rsidRPr="007A5CF4">
        <w:rPr>
          <w:b/>
          <w:bCs/>
          <w:lang w:val="en-GB"/>
        </w:rPr>
        <w:t>Discussion:</w:t>
      </w:r>
    </w:p>
    <w:p w14:paraId="17CE907D" w14:textId="77777777" w:rsidR="00415BF9" w:rsidRDefault="00415BF9" w:rsidP="00415BF9">
      <w:pPr>
        <w:spacing w:line="240" w:lineRule="auto"/>
        <w:rPr>
          <w:rFonts w:eastAsia="Times New Roman" w:cs="Calibri"/>
          <w:color w:val="000000"/>
          <w:shd w:val="clear" w:color="auto" w:fill="FFFFFF"/>
          <w:lang w:eastAsia="en-GB"/>
        </w:rPr>
      </w:pPr>
      <w:r w:rsidRPr="00A21F09">
        <w:rPr>
          <w:rFonts w:eastAsia="Times New Roman" w:cs="Calibri"/>
          <w:color w:val="000000"/>
          <w:shd w:val="clear" w:color="auto" w:fill="FFFFFF"/>
          <w:lang w:eastAsia="en-GB"/>
        </w:rPr>
        <w:t xml:space="preserve">CT is a useful imaging modality for this anomaly, with it often </w:t>
      </w:r>
      <w:r>
        <w:rPr>
          <w:rFonts w:eastAsia="Times New Roman" w:cs="Calibri"/>
          <w:color w:val="000000"/>
          <w:shd w:val="clear" w:color="auto" w:fill="FFFFFF"/>
          <w:lang w:eastAsia="en-GB"/>
        </w:rPr>
        <w:t xml:space="preserve">being </w:t>
      </w:r>
      <w:r w:rsidRPr="00A21F09">
        <w:rPr>
          <w:rFonts w:eastAsia="Times New Roman" w:cs="Calibri"/>
          <w:color w:val="000000"/>
          <w:shd w:val="clear" w:color="auto" w:fill="FFFFFF"/>
          <w:lang w:eastAsia="en-GB"/>
        </w:rPr>
        <w:t>detecting as an incidental finding in adults undergoing imaging for another reason</w:t>
      </w:r>
      <w:r>
        <w:rPr>
          <w:rFonts w:eastAsia="Times New Roman" w:cs="Calibri"/>
          <w:color w:val="000000"/>
          <w:shd w:val="clear" w:color="auto" w:fill="FFFFFF"/>
          <w:vertAlign w:val="superscript"/>
          <w:lang w:eastAsia="en-GB"/>
        </w:rPr>
        <w:t>3</w:t>
      </w:r>
      <w:r w:rsidRPr="00A21F09">
        <w:rPr>
          <w:rFonts w:eastAsia="Times New Roman" w:cs="Calibri"/>
          <w:color w:val="000000"/>
          <w:shd w:val="clear" w:color="auto" w:fill="FFFFFF"/>
          <w:lang w:eastAsia="en-GB"/>
        </w:rPr>
        <w:t>. Like in our case, the large bowel may lie</w:t>
      </w:r>
      <w:r>
        <w:rPr>
          <w:rFonts w:eastAsia="Times New Roman" w:cs="Calibri"/>
          <w:color w:val="000000"/>
          <w:shd w:val="clear" w:color="auto" w:fill="FFFFFF"/>
          <w:lang w:eastAsia="en-GB"/>
        </w:rPr>
        <w:t>s</w:t>
      </w:r>
      <w:r w:rsidRPr="00A21F09">
        <w:rPr>
          <w:rFonts w:eastAsia="Times New Roman" w:cs="Calibri"/>
          <w:color w:val="000000"/>
          <w:shd w:val="clear" w:color="auto" w:fill="FFFFFF"/>
          <w:lang w:eastAsia="en-GB"/>
        </w:rPr>
        <w:t xml:space="preserve"> mainly on the left with the small bowel lying mainly on the right. Additionally</w:t>
      </w:r>
      <w:r>
        <w:rPr>
          <w:rFonts w:eastAsia="Times New Roman" w:cs="Calibri"/>
          <w:color w:val="000000"/>
          <w:shd w:val="clear" w:color="auto" w:fill="FFFFFF"/>
          <w:lang w:eastAsia="en-GB"/>
        </w:rPr>
        <w:t xml:space="preserve"> extra-intestinal manifestation </w:t>
      </w:r>
      <w:r w:rsidRPr="00A21F09">
        <w:rPr>
          <w:rFonts w:eastAsia="Times New Roman" w:cs="Calibri"/>
          <w:color w:val="000000"/>
          <w:shd w:val="clear" w:color="auto" w:fill="FFFFFF"/>
          <w:lang w:eastAsia="en-GB"/>
        </w:rPr>
        <w:t>such as  an abnormal relationship between the SMA and SMV</w:t>
      </w:r>
      <w:r>
        <w:rPr>
          <w:rFonts w:eastAsia="Times New Roman" w:cs="Calibri"/>
          <w:color w:val="000000"/>
          <w:shd w:val="clear" w:color="auto" w:fill="FFFFFF"/>
          <w:lang w:eastAsia="en-GB"/>
        </w:rPr>
        <w:t xml:space="preserve"> may be appreciated</w:t>
      </w:r>
      <w:r w:rsidRPr="00A21F09">
        <w:rPr>
          <w:rFonts w:eastAsia="Times New Roman" w:cs="Calibri"/>
          <w:color w:val="000000"/>
          <w:shd w:val="clear" w:color="auto" w:fill="FFFFFF"/>
          <w:lang w:eastAsia="en-GB"/>
        </w:rPr>
        <w:t>. It may show a vertical relationship or left-right inversion</w:t>
      </w:r>
      <w:r>
        <w:rPr>
          <w:rFonts w:eastAsia="Times New Roman" w:cs="Calibri"/>
          <w:color w:val="000000"/>
          <w:shd w:val="clear" w:color="auto" w:fill="FFFFFF"/>
          <w:vertAlign w:val="superscript"/>
          <w:lang w:eastAsia="en-GB"/>
        </w:rPr>
        <w:t>4</w:t>
      </w:r>
      <w:r w:rsidRPr="00A21F09">
        <w:rPr>
          <w:rFonts w:eastAsia="Times New Roman" w:cs="Calibri"/>
          <w:color w:val="000000"/>
          <w:shd w:val="clear" w:color="auto" w:fill="FFFFFF"/>
          <w:lang w:eastAsia="en-GB"/>
        </w:rPr>
        <w:t xml:space="preserve">. While they are useful in guiding the diagnosis, they may be seen in patients without a malrotation. In the case of a CT demonstrating focal inflammation within the intestinal tract, in conjunction with an anomaly in the SMA/SMV relationship, it is good practice to confirm the position of the caecum in order to out-rule an acute appendicitis. Additionally, the pancreas may have an absent uncinate process or may be underdeveloped. </w:t>
      </w:r>
      <w:r>
        <w:rPr>
          <w:rFonts w:eastAsia="Times New Roman" w:cs="Calibri"/>
          <w:color w:val="000000"/>
          <w:shd w:val="clear" w:color="auto" w:fill="FFFFFF"/>
          <w:lang w:eastAsia="en-GB"/>
        </w:rPr>
        <w:t>This</w:t>
      </w:r>
      <w:r w:rsidRPr="00A21F09">
        <w:rPr>
          <w:rFonts w:eastAsia="Times New Roman" w:cs="Calibri"/>
          <w:color w:val="000000"/>
          <w:shd w:val="clear" w:color="auto" w:fill="FFFFFF"/>
          <w:lang w:eastAsia="en-GB"/>
        </w:rPr>
        <w:t xml:space="preserve"> case is a good example of how an unrelated intra-abdominal pathology may lead to an atypical clinical picture. </w:t>
      </w:r>
    </w:p>
    <w:p w14:paraId="6A89BE95" w14:textId="77777777" w:rsidR="00415BF9" w:rsidRPr="00C562A2" w:rsidRDefault="00415BF9" w:rsidP="00415BF9">
      <w:pPr>
        <w:spacing w:line="240" w:lineRule="auto"/>
        <w:rPr>
          <w:lang w:val="en-GB"/>
        </w:rPr>
      </w:pPr>
    </w:p>
    <w:p w14:paraId="41615CA7" w14:textId="77777777" w:rsidR="00415BF9" w:rsidRPr="00B25BD6" w:rsidRDefault="00415BF9" w:rsidP="00415BF9">
      <w:pPr>
        <w:pStyle w:val="Heading4"/>
        <w:spacing w:before="0" w:beforeAutospacing="0"/>
        <w:textAlignment w:val="baseline"/>
        <w:rPr>
          <w:rFonts w:ascii="Calibri" w:hAnsi="Calibri" w:cs="Calibri"/>
          <w:color w:val="000000"/>
        </w:rPr>
      </w:pPr>
      <w:r w:rsidRPr="00B25BD6">
        <w:rPr>
          <w:rFonts w:ascii="Calibri" w:hAnsi="Calibri" w:cs="Calibri"/>
          <w:noProof/>
          <w:color w:val="000000"/>
          <w:lang w:eastAsia="en-IE"/>
        </w:rPr>
        <w:lastRenderedPageBreak/>
        <w:drawing>
          <wp:inline distT="0" distB="0" distL="0" distR="0" wp14:anchorId="352E7921" wp14:editId="52E9A986">
            <wp:extent cx="5725160" cy="5407025"/>
            <wp:effectExtent l="0" t="0" r="0" b="0"/>
            <wp:docPr id="2" name="Picture 2" descr="A close up of a coi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close up of a coin&#10;&#10;Description automatically generated with medium confidence"/>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5160" cy="5407025"/>
                    </a:xfrm>
                    <a:prstGeom prst="rect">
                      <a:avLst/>
                    </a:prstGeom>
                    <a:noFill/>
                    <a:ln>
                      <a:noFill/>
                    </a:ln>
                  </pic:spPr>
                </pic:pic>
              </a:graphicData>
            </a:graphic>
          </wp:inline>
        </w:drawing>
      </w:r>
    </w:p>
    <w:p w14:paraId="4F2C5C8B" w14:textId="77777777" w:rsidR="00415BF9" w:rsidRPr="00B25BD6" w:rsidRDefault="00415BF9" w:rsidP="00415BF9">
      <w:pPr>
        <w:pStyle w:val="Heading4"/>
        <w:spacing w:before="0" w:beforeAutospacing="0"/>
        <w:textAlignment w:val="baseline"/>
        <w:rPr>
          <w:rFonts w:ascii="Calibri" w:hAnsi="Calibri" w:cs="Calibri"/>
          <w:color w:val="000000"/>
          <w:sz w:val="16"/>
          <w:szCs w:val="16"/>
        </w:rPr>
      </w:pPr>
      <w:r w:rsidRPr="00B25BD6">
        <w:rPr>
          <w:rFonts w:ascii="Calibri" w:hAnsi="Calibri" w:cs="Calibri"/>
          <w:color w:val="000000"/>
          <w:sz w:val="16"/>
          <w:szCs w:val="16"/>
        </w:rPr>
        <w:t>Fig 1. Reversal of SMV and SMA</w:t>
      </w:r>
    </w:p>
    <w:p w14:paraId="73E70D38" w14:textId="77777777" w:rsidR="00415BF9" w:rsidRPr="00B25BD6" w:rsidRDefault="00415BF9" w:rsidP="00415BF9">
      <w:pPr>
        <w:pStyle w:val="Heading4"/>
        <w:spacing w:before="0" w:beforeAutospacing="0"/>
        <w:textAlignment w:val="baseline"/>
        <w:rPr>
          <w:rFonts w:ascii="Calibri" w:hAnsi="Calibri" w:cs="Calibri"/>
          <w:color w:val="000000"/>
        </w:rPr>
      </w:pPr>
    </w:p>
    <w:p w14:paraId="01F31D8D" w14:textId="77777777" w:rsidR="00415BF9" w:rsidRPr="00B25BD6" w:rsidRDefault="00415BF9" w:rsidP="00415BF9">
      <w:pPr>
        <w:pStyle w:val="Heading4"/>
        <w:spacing w:before="0" w:beforeAutospacing="0"/>
        <w:textAlignment w:val="baseline"/>
        <w:rPr>
          <w:rFonts w:ascii="Calibri" w:hAnsi="Calibri" w:cs="Calibri"/>
          <w:color w:val="000000"/>
        </w:rPr>
      </w:pPr>
      <w:r w:rsidRPr="00B25BD6">
        <w:rPr>
          <w:rFonts w:ascii="Calibri" w:hAnsi="Calibri" w:cs="Calibri"/>
          <w:noProof/>
          <w:color w:val="000000"/>
          <w:lang w:eastAsia="en-IE"/>
        </w:rPr>
        <w:lastRenderedPageBreak/>
        <w:drawing>
          <wp:inline distT="0" distB="0" distL="0" distR="0" wp14:anchorId="69195EE8" wp14:editId="0D5AD356">
            <wp:extent cx="5738495" cy="8455025"/>
            <wp:effectExtent l="0" t="0" r="0" b="0"/>
            <wp:docPr id="3" name="Picture 4" descr="A picture containing text, clos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picture containing text, close&#10;&#10;Description automatically generate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8495" cy="8455025"/>
                    </a:xfrm>
                    <a:prstGeom prst="rect">
                      <a:avLst/>
                    </a:prstGeom>
                    <a:noFill/>
                    <a:ln>
                      <a:noFill/>
                    </a:ln>
                  </pic:spPr>
                </pic:pic>
              </a:graphicData>
            </a:graphic>
          </wp:inline>
        </w:drawing>
      </w:r>
    </w:p>
    <w:p w14:paraId="66C1559B" w14:textId="77777777" w:rsidR="00415BF9" w:rsidRPr="00C562A2" w:rsidRDefault="00415BF9" w:rsidP="00415BF9">
      <w:pPr>
        <w:spacing w:line="240" w:lineRule="auto"/>
        <w:rPr>
          <w:rFonts w:eastAsia="Times New Roman" w:cs="Calibri"/>
          <w:b/>
          <w:bCs/>
          <w:sz w:val="16"/>
          <w:szCs w:val="16"/>
          <w:lang w:eastAsia="en-GB"/>
        </w:rPr>
      </w:pPr>
      <w:r w:rsidRPr="00C562A2">
        <w:rPr>
          <w:rFonts w:cs="Calibri"/>
          <w:b/>
          <w:bCs/>
          <w:sz w:val="16"/>
          <w:szCs w:val="16"/>
          <w:lang w:val="en-GB"/>
        </w:rPr>
        <w:t xml:space="preserve">Fig 2. </w:t>
      </w:r>
      <w:r w:rsidRPr="00C562A2">
        <w:rPr>
          <w:rFonts w:eastAsia="Times New Roman" w:cs="Calibri"/>
          <w:b/>
          <w:bCs/>
          <w:color w:val="000000"/>
          <w:sz w:val="16"/>
          <w:szCs w:val="16"/>
          <w:shd w:val="clear" w:color="auto" w:fill="FFFFFF"/>
          <w:lang w:eastAsia="en-GB"/>
        </w:rPr>
        <w:t>Inflammation surrounding a tubular structure in the left lower abdomen, subsequently recognised as acute appendicitis</w:t>
      </w:r>
    </w:p>
    <w:p w14:paraId="21FDFBAC" w14:textId="77777777" w:rsidR="00415BF9" w:rsidRDefault="00415BF9" w:rsidP="00415BF9">
      <w:pPr>
        <w:spacing w:line="240" w:lineRule="auto"/>
        <w:rPr>
          <w:b/>
          <w:bCs/>
          <w:lang w:val="en-GB"/>
        </w:rPr>
      </w:pPr>
    </w:p>
    <w:p w14:paraId="27ACB03B" w14:textId="77777777" w:rsidR="00415BF9" w:rsidRDefault="00415BF9" w:rsidP="00415BF9">
      <w:pPr>
        <w:spacing w:line="240" w:lineRule="auto"/>
        <w:rPr>
          <w:b/>
          <w:bCs/>
          <w:lang w:val="en-GB"/>
        </w:rPr>
      </w:pPr>
    </w:p>
    <w:p w14:paraId="26F18A7F" w14:textId="77777777" w:rsidR="00415BF9" w:rsidRDefault="00415BF9" w:rsidP="00415BF9">
      <w:pPr>
        <w:spacing w:line="240" w:lineRule="auto"/>
        <w:rPr>
          <w:b/>
          <w:bCs/>
          <w:lang w:val="en-GB"/>
        </w:rPr>
      </w:pPr>
    </w:p>
    <w:p w14:paraId="1B5AF36B" w14:textId="77777777" w:rsidR="00415BF9" w:rsidRPr="00C562A2" w:rsidRDefault="00415BF9" w:rsidP="00415BF9">
      <w:pPr>
        <w:spacing w:line="240" w:lineRule="auto"/>
        <w:rPr>
          <w:b/>
          <w:bCs/>
          <w:lang w:val="en-GB"/>
        </w:rPr>
      </w:pPr>
      <w:r w:rsidRPr="00C562A2">
        <w:rPr>
          <w:b/>
          <w:bCs/>
          <w:lang w:val="en-GB"/>
        </w:rPr>
        <w:t>References:</w:t>
      </w:r>
    </w:p>
    <w:p w14:paraId="0B391C14" w14:textId="77777777" w:rsidR="00415BF9" w:rsidRPr="00CD154F" w:rsidRDefault="00415BF9" w:rsidP="00415BF9">
      <w:pPr>
        <w:spacing w:line="240" w:lineRule="auto"/>
        <w:rPr>
          <w:rFonts w:ascii="Times New Roman" w:eastAsia="Times New Roman" w:hAnsi="Times New Roman"/>
          <w:lang w:eastAsia="en-GB"/>
        </w:rPr>
      </w:pPr>
      <w:r>
        <w:rPr>
          <w:rFonts w:ascii="Arial" w:eastAsia="Times New Roman" w:hAnsi="Arial" w:cs="Arial"/>
          <w:color w:val="222222"/>
          <w:sz w:val="20"/>
          <w:szCs w:val="20"/>
          <w:shd w:val="clear" w:color="auto" w:fill="FFFFFF"/>
          <w:vertAlign w:val="superscript"/>
          <w:lang w:eastAsia="en-GB"/>
        </w:rPr>
        <w:t>1</w:t>
      </w:r>
      <w:r w:rsidRPr="00CD154F">
        <w:rPr>
          <w:rFonts w:ascii="Arial" w:eastAsia="Times New Roman" w:hAnsi="Arial" w:cs="Arial"/>
          <w:color w:val="222222"/>
          <w:sz w:val="20"/>
          <w:szCs w:val="20"/>
          <w:shd w:val="clear" w:color="auto" w:fill="FFFFFF"/>
          <w:lang w:eastAsia="en-GB"/>
        </w:rPr>
        <w:t xml:space="preserve">Alani M, </w:t>
      </w:r>
      <w:proofErr w:type="spellStart"/>
      <w:r w:rsidRPr="00CD154F">
        <w:rPr>
          <w:rFonts w:ascii="Arial" w:eastAsia="Times New Roman" w:hAnsi="Arial" w:cs="Arial"/>
          <w:color w:val="222222"/>
          <w:sz w:val="20"/>
          <w:szCs w:val="20"/>
          <w:shd w:val="clear" w:color="auto" w:fill="FFFFFF"/>
          <w:lang w:eastAsia="en-GB"/>
        </w:rPr>
        <w:t>Rentea</w:t>
      </w:r>
      <w:proofErr w:type="spellEnd"/>
      <w:r w:rsidRPr="00CD154F">
        <w:rPr>
          <w:rFonts w:ascii="Arial" w:eastAsia="Times New Roman" w:hAnsi="Arial" w:cs="Arial"/>
          <w:color w:val="222222"/>
          <w:sz w:val="20"/>
          <w:szCs w:val="20"/>
          <w:shd w:val="clear" w:color="auto" w:fill="FFFFFF"/>
          <w:lang w:eastAsia="en-GB"/>
        </w:rPr>
        <w:t xml:space="preserve"> RM. Midgut Malrotation. </w:t>
      </w:r>
      <w:proofErr w:type="spellStart"/>
      <w:r w:rsidRPr="00CD154F">
        <w:rPr>
          <w:rFonts w:ascii="Arial" w:eastAsia="Times New Roman" w:hAnsi="Arial" w:cs="Arial"/>
          <w:color w:val="222222"/>
          <w:sz w:val="20"/>
          <w:szCs w:val="20"/>
          <w:shd w:val="clear" w:color="auto" w:fill="FFFFFF"/>
          <w:lang w:eastAsia="en-GB"/>
        </w:rPr>
        <w:t>StatPearls</w:t>
      </w:r>
      <w:proofErr w:type="spellEnd"/>
      <w:r w:rsidRPr="00CD154F">
        <w:rPr>
          <w:rFonts w:ascii="Arial" w:eastAsia="Times New Roman" w:hAnsi="Arial" w:cs="Arial"/>
          <w:color w:val="222222"/>
          <w:sz w:val="20"/>
          <w:szCs w:val="20"/>
          <w:shd w:val="clear" w:color="auto" w:fill="FFFFFF"/>
          <w:lang w:eastAsia="en-GB"/>
        </w:rPr>
        <w:t xml:space="preserve"> [Internet]. 2020 Aug 1.</w:t>
      </w:r>
    </w:p>
    <w:p w14:paraId="28F6D454" w14:textId="77777777" w:rsidR="00415BF9" w:rsidRPr="00CD154F" w:rsidRDefault="00415BF9" w:rsidP="00415BF9">
      <w:pPr>
        <w:spacing w:line="240" w:lineRule="auto"/>
        <w:rPr>
          <w:rFonts w:ascii="Times New Roman" w:eastAsia="Times New Roman" w:hAnsi="Times New Roman"/>
          <w:lang w:eastAsia="en-GB"/>
        </w:rPr>
      </w:pPr>
      <w:r>
        <w:rPr>
          <w:rFonts w:ascii="Arial" w:eastAsia="Times New Roman" w:hAnsi="Arial" w:cs="Arial"/>
          <w:color w:val="222222"/>
          <w:sz w:val="20"/>
          <w:szCs w:val="20"/>
          <w:shd w:val="clear" w:color="auto" w:fill="FFFFFF"/>
          <w:vertAlign w:val="superscript"/>
          <w:lang w:eastAsia="en-GB"/>
        </w:rPr>
        <w:t>2</w:t>
      </w:r>
      <w:r w:rsidRPr="00CD154F">
        <w:rPr>
          <w:rFonts w:ascii="Arial" w:eastAsia="Times New Roman" w:hAnsi="Arial" w:cs="Arial"/>
          <w:color w:val="222222"/>
          <w:sz w:val="20"/>
          <w:szCs w:val="20"/>
          <w:shd w:val="clear" w:color="auto" w:fill="FFFFFF"/>
          <w:lang w:eastAsia="en-GB"/>
        </w:rPr>
        <w:t>Nichols DM, Li DK. Superior mesenteric vein rotation: a CT sign of midgut malrotation. American journal of roentgenology. 1983 Oct 1;141(4):707-8.</w:t>
      </w:r>
    </w:p>
    <w:p w14:paraId="203C62AD" w14:textId="77777777" w:rsidR="00415BF9" w:rsidRPr="00CD154F" w:rsidRDefault="00415BF9" w:rsidP="00415BF9">
      <w:pPr>
        <w:spacing w:line="240" w:lineRule="auto"/>
        <w:rPr>
          <w:rFonts w:ascii="Times New Roman" w:eastAsia="Times New Roman" w:hAnsi="Times New Roman"/>
          <w:lang w:eastAsia="en-GB"/>
        </w:rPr>
      </w:pPr>
      <w:r>
        <w:rPr>
          <w:rFonts w:ascii="Arial" w:eastAsia="Times New Roman" w:hAnsi="Arial" w:cs="Arial"/>
          <w:color w:val="222222"/>
          <w:sz w:val="20"/>
          <w:szCs w:val="20"/>
          <w:shd w:val="clear" w:color="auto" w:fill="FFFFFF"/>
          <w:vertAlign w:val="superscript"/>
          <w:lang w:eastAsia="en-GB"/>
        </w:rPr>
        <w:t>3</w:t>
      </w:r>
      <w:r w:rsidRPr="00CD154F">
        <w:rPr>
          <w:rFonts w:ascii="Arial" w:eastAsia="Times New Roman" w:hAnsi="Arial" w:cs="Arial"/>
          <w:color w:val="222222"/>
          <w:sz w:val="20"/>
          <w:szCs w:val="20"/>
          <w:shd w:val="clear" w:color="auto" w:fill="FFFFFF"/>
          <w:lang w:eastAsia="en-GB"/>
        </w:rPr>
        <w:t xml:space="preserve">Gnanadev P, Krishnappa R, </w:t>
      </w:r>
      <w:proofErr w:type="spellStart"/>
      <w:r w:rsidRPr="00CD154F">
        <w:rPr>
          <w:rFonts w:ascii="Arial" w:eastAsia="Times New Roman" w:hAnsi="Arial" w:cs="Arial"/>
          <w:color w:val="222222"/>
          <w:sz w:val="20"/>
          <w:szCs w:val="20"/>
          <w:shd w:val="clear" w:color="auto" w:fill="FFFFFF"/>
          <w:lang w:eastAsia="en-GB"/>
        </w:rPr>
        <w:t>Taluru</w:t>
      </w:r>
      <w:proofErr w:type="spellEnd"/>
      <w:r w:rsidRPr="00CD154F">
        <w:rPr>
          <w:rFonts w:ascii="Arial" w:eastAsia="Times New Roman" w:hAnsi="Arial" w:cs="Arial"/>
          <w:color w:val="222222"/>
          <w:sz w:val="20"/>
          <w:szCs w:val="20"/>
          <w:shd w:val="clear" w:color="auto" w:fill="FFFFFF"/>
          <w:lang w:eastAsia="en-GB"/>
        </w:rPr>
        <w:t xml:space="preserve"> HR, </w:t>
      </w:r>
      <w:proofErr w:type="spellStart"/>
      <w:r w:rsidRPr="00CD154F">
        <w:rPr>
          <w:rFonts w:ascii="Arial" w:eastAsia="Times New Roman" w:hAnsi="Arial" w:cs="Arial"/>
          <w:color w:val="222222"/>
          <w:sz w:val="20"/>
          <w:szCs w:val="20"/>
          <w:shd w:val="clear" w:color="auto" w:fill="FFFFFF"/>
          <w:lang w:eastAsia="en-GB"/>
        </w:rPr>
        <w:t>Subbaiah</w:t>
      </w:r>
      <w:proofErr w:type="spellEnd"/>
      <w:r w:rsidRPr="00CD154F">
        <w:rPr>
          <w:rFonts w:ascii="Arial" w:eastAsia="Times New Roman" w:hAnsi="Arial" w:cs="Arial"/>
          <w:color w:val="222222"/>
          <w:sz w:val="20"/>
          <w:szCs w:val="20"/>
          <w:shd w:val="clear" w:color="auto" w:fill="FFFFFF"/>
          <w:lang w:eastAsia="en-GB"/>
        </w:rPr>
        <w:t xml:space="preserve"> G, </w:t>
      </w:r>
      <w:proofErr w:type="spellStart"/>
      <w:r w:rsidRPr="00CD154F">
        <w:rPr>
          <w:rFonts w:ascii="Arial" w:eastAsia="Times New Roman" w:hAnsi="Arial" w:cs="Arial"/>
          <w:color w:val="222222"/>
          <w:sz w:val="20"/>
          <w:szCs w:val="20"/>
          <w:shd w:val="clear" w:color="auto" w:fill="FFFFFF"/>
          <w:lang w:eastAsia="en-GB"/>
        </w:rPr>
        <w:t>Vasantha</w:t>
      </w:r>
      <w:proofErr w:type="spellEnd"/>
      <w:r w:rsidRPr="00CD154F">
        <w:rPr>
          <w:rFonts w:ascii="Arial" w:eastAsia="Times New Roman" w:hAnsi="Arial" w:cs="Arial"/>
          <w:color w:val="222222"/>
          <w:sz w:val="20"/>
          <w:szCs w:val="20"/>
          <w:shd w:val="clear" w:color="auto" w:fill="FFFFFF"/>
          <w:lang w:eastAsia="en-GB"/>
        </w:rPr>
        <w:t xml:space="preserve"> GM, Nagaraj DK, Damodaran G. A rare presentation of midgut malrotation as an acute intestinal obstruction and perforation in an adult. International Surgery Journal. 2020 Sep 23;7(10):3459-62.</w:t>
      </w:r>
    </w:p>
    <w:p w14:paraId="47A23740" w14:textId="77777777" w:rsidR="00415BF9" w:rsidRPr="00CD154F" w:rsidRDefault="00415BF9" w:rsidP="00415BF9">
      <w:pPr>
        <w:spacing w:line="240" w:lineRule="auto"/>
        <w:rPr>
          <w:rFonts w:ascii="Times New Roman" w:eastAsia="Times New Roman" w:hAnsi="Times New Roman"/>
          <w:lang w:eastAsia="en-GB"/>
        </w:rPr>
      </w:pPr>
      <w:r>
        <w:rPr>
          <w:rFonts w:ascii="Arial" w:eastAsia="Times New Roman" w:hAnsi="Arial" w:cs="Arial"/>
          <w:color w:val="222222"/>
          <w:sz w:val="20"/>
          <w:szCs w:val="20"/>
          <w:shd w:val="clear" w:color="auto" w:fill="FFFFFF"/>
          <w:vertAlign w:val="superscript"/>
          <w:lang w:eastAsia="en-GB"/>
        </w:rPr>
        <w:t>4</w:t>
      </w:r>
      <w:r w:rsidRPr="00CD154F">
        <w:rPr>
          <w:rFonts w:ascii="Arial" w:eastAsia="Times New Roman" w:hAnsi="Arial" w:cs="Arial"/>
          <w:color w:val="222222"/>
          <w:sz w:val="20"/>
          <w:szCs w:val="20"/>
          <w:shd w:val="clear" w:color="auto" w:fill="FFFFFF"/>
          <w:lang w:eastAsia="en-GB"/>
        </w:rPr>
        <w:t xml:space="preserve">Çağlar E, </w:t>
      </w:r>
      <w:proofErr w:type="spellStart"/>
      <w:r w:rsidRPr="00CD154F">
        <w:rPr>
          <w:rFonts w:ascii="Arial" w:eastAsia="Times New Roman" w:hAnsi="Arial" w:cs="Arial"/>
          <w:color w:val="222222"/>
          <w:sz w:val="20"/>
          <w:szCs w:val="20"/>
          <w:shd w:val="clear" w:color="auto" w:fill="FFFFFF"/>
          <w:lang w:eastAsia="en-GB"/>
        </w:rPr>
        <w:t>Arıbaş</w:t>
      </w:r>
      <w:proofErr w:type="spellEnd"/>
      <w:r w:rsidRPr="00CD154F">
        <w:rPr>
          <w:rFonts w:ascii="Arial" w:eastAsia="Times New Roman" w:hAnsi="Arial" w:cs="Arial"/>
          <w:color w:val="222222"/>
          <w:sz w:val="20"/>
          <w:szCs w:val="20"/>
          <w:shd w:val="clear" w:color="auto" w:fill="FFFFFF"/>
          <w:lang w:eastAsia="en-GB"/>
        </w:rPr>
        <w:t xml:space="preserve"> B, </w:t>
      </w:r>
      <w:proofErr w:type="spellStart"/>
      <w:r w:rsidRPr="00CD154F">
        <w:rPr>
          <w:rFonts w:ascii="Arial" w:eastAsia="Times New Roman" w:hAnsi="Arial" w:cs="Arial"/>
          <w:color w:val="222222"/>
          <w:sz w:val="20"/>
          <w:szCs w:val="20"/>
          <w:shd w:val="clear" w:color="auto" w:fill="FFFFFF"/>
          <w:lang w:eastAsia="en-GB"/>
        </w:rPr>
        <w:t>Tiken</w:t>
      </w:r>
      <w:proofErr w:type="spellEnd"/>
      <w:r w:rsidRPr="00CD154F">
        <w:rPr>
          <w:rFonts w:ascii="Arial" w:eastAsia="Times New Roman" w:hAnsi="Arial" w:cs="Arial"/>
          <w:color w:val="222222"/>
          <w:sz w:val="20"/>
          <w:szCs w:val="20"/>
          <w:shd w:val="clear" w:color="auto" w:fill="FFFFFF"/>
          <w:lang w:eastAsia="en-GB"/>
        </w:rPr>
        <w:t xml:space="preserve"> R, </w:t>
      </w:r>
      <w:proofErr w:type="spellStart"/>
      <w:r w:rsidRPr="00CD154F">
        <w:rPr>
          <w:rFonts w:ascii="Arial" w:eastAsia="Times New Roman" w:hAnsi="Arial" w:cs="Arial"/>
          <w:color w:val="222222"/>
          <w:sz w:val="20"/>
          <w:szCs w:val="20"/>
          <w:shd w:val="clear" w:color="auto" w:fill="FFFFFF"/>
          <w:lang w:eastAsia="en-GB"/>
        </w:rPr>
        <w:t>Keskin</w:t>
      </w:r>
      <w:proofErr w:type="spellEnd"/>
      <w:r w:rsidRPr="00CD154F">
        <w:rPr>
          <w:rFonts w:ascii="Arial" w:eastAsia="Times New Roman" w:hAnsi="Arial" w:cs="Arial"/>
          <w:color w:val="222222"/>
          <w:sz w:val="20"/>
          <w:szCs w:val="20"/>
          <w:shd w:val="clear" w:color="auto" w:fill="FFFFFF"/>
          <w:lang w:eastAsia="en-GB"/>
        </w:rPr>
        <w:t xml:space="preserve"> S. Midgut malrotation presenting with left-sided acute appendicitis and CT inversion sign. Case Reports. 2014 Mar 28;2014:bcr2013202709.</w:t>
      </w:r>
    </w:p>
    <w:p w14:paraId="328B7B50" w14:textId="77777777" w:rsidR="00522E72" w:rsidRDefault="00415BF9"/>
    <w:sectPr w:rsidR="00522E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F9"/>
    <w:rsid w:val="00415BF9"/>
    <w:rsid w:val="0051326E"/>
    <w:rsid w:val="00AA3A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0921"/>
  <w15:chartTrackingRefBased/>
  <w15:docId w15:val="{E9DD7294-607B-7046-9AFC-CD4C4D21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BF9"/>
    <w:pPr>
      <w:spacing w:after="160" w:line="259" w:lineRule="auto"/>
    </w:pPr>
    <w:rPr>
      <w:rFonts w:ascii="Calibri" w:eastAsia="Calibri" w:hAnsi="Calibri" w:cs="Times New Roman"/>
      <w:sz w:val="22"/>
      <w:szCs w:val="22"/>
    </w:rPr>
  </w:style>
  <w:style w:type="paragraph" w:styleId="Heading4">
    <w:name w:val="heading 4"/>
    <w:basedOn w:val="Normal"/>
    <w:link w:val="Heading4Char"/>
    <w:uiPriority w:val="9"/>
    <w:qFormat/>
    <w:rsid w:val="00415BF9"/>
    <w:pPr>
      <w:spacing w:before="100" w:beforeAutospacing="1" w:after="100" w:afterAutospacing="1" w:line="240" w:lineRule="auto"/>
      <w:outlineLvl w:val="3"/>
    </w:pPr>
    <w:rPr>
      <w:rFonts w:ascii="Times New Roman" w:eastAsia="Times New Roman" w:hAnsi="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15BF9"/>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946</Words>
  <Characters>5398</Characters>
  <Application>Microsoft Office Word</Application>
  <DocSecurity>0</DocSecurity>
  <Lines>44</Lines>
  <Paragraphs>12</Paragraphs>
  <ScaleCrop>false</ScaleCrop>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Burns, Jane</dc:creator>
  <cp:keywords/>
  <dc:description/>
  <cp:lastModifiedBy>Burns, Jane</cp:lastModifiedBy>
  <cp:revision>1</cp:revision>
  <dcterms:created xsi:type="dcterms:W3CDTF">2021-09-17T21:34:00Z</dcterms:created>
  <dcterms:modified xsi:type="dcterms:W3CDTF">2021-09-17T21:41:00Z</dcterms:modified>
</cp:coreProperties>
</file>