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ABD" w:rsidRDefault="00390ABD" w:rsidP="00390ABD">
      <w:pPr>
        <w:spacing w:line="480" w:lineRule="auto"/>
        <w:rPr>
          <w:rFonts w:ascii="Georgia" w:hAnsi="Georgia"/>
          <w:b/>
          <w:bCs/>
        </w:rPr>
      </w:pPr>
      <w:r>
        <w:rPr>
          <w:rFonts w:ascii="Georgia" w:hAnsi="Georgia"/>
          <w:b/>
          <w:bCs/>
        </w:rPr>
        <w:t>Title: Healthy volunteers in first-in-human oncology drug development for small molecules</w:t>
      </w:r>
    </w:p>
    <w:p w:rsidR="00390ABD" w:rsidRPr="00390ABD" w:rsidRDefault="00390ABD" w:rsidP="00390ABD">
      <w:pPr>
        <w:rPr>
          <w:rFonts w:eastAsiaTheme="minorEastAsia" w:cs="Times New Roman"/>
          <w:bCs/>
          <w:noProof/>
          <w:color w:val="1F497D"/>
          <w:lang w:val="es-ES"/>
        </w:rPr>
      </w:pPr>
      <w:r w:rsidRPr="00390ABD">
        <w:rPr>
          <w:b/>
          <w:sz w:val="28"/>
          <w:szCs w:val="28"/>
        </w:rPr>
        <w:t xml:space="preserve">                                            </w:t>
      </w:r>
      <w:r w:rsidRPr="00390ABD">
        <w:rPr>
          <w:rFonts w:eastAsia="MS PGothic" w:hAnsi="Arial"/>
          <w:color w:val="000000"/>
          <w:lang w:val="es-ES"/>
        </w:rPr>
        <w:t>Name:</w:t>
      </w:r>
      <w:r w:rsidRPr="00390ABD">
        <w:rPr>
          <w:rFonts w:eastAsiaTheme="minorEastAsia" w:cs="Times New Roman"/>
          <w:bCs/>
          <w:noProof/>
          <w:color w:val="1F497D"/>
          <w:lang w:val="es-ES"/>
        </w:rPr>
        <w:t xml:space="preserve"> </w:t>
      </w:r>
      <w:r>
        <w:rPr>
          <w:rFonts w:ascii="Calibri" w:eastAsiaTheme="minorEastAsia" w:hAnsi="Calibri"/>
          <w:b/>
          <w:bCs/>
          <w:noProof/>
          <w:color w:val="002060"/>
          <w:lang w:val="es-ES"/>
        </w:rPr>
        <w:t>Begoña de las Heras Garcia, MD</w:t>
      </w:r>
    </w:p>
    <w:p w:rsidR="00390ABD" w:rsidRPr="00DE5745" w:rsidRDefault="00390ABD" w:rsidP="00390ABD">
      <w:pPr>
        <w:jc w:val="center"/>
        <w:rPr>
          <w:rFonts w:cstheme="minorHAnsi"/>
          <w:sz w:val="24"/>
          <w:szCs w:val="24"/>
        </w:rPr>
      </w:pPr>
      <w:r w:rsidRPr="00DE5745">
        <w:rPr>
          <w:rFonts w:cstheme="minorHAnsi"/>
          <w:sz w:val="24"/>
          <w:szCs w:val="24"/>
        </w:rPr>
        <w:t>Senior Medical Director Oncology</w:t>
      </w:r>
    </w:p>
    <w:p w:rsidR="00390ABD" w:rsidRPr="00DE5745" w:rsidRDefault="00390ABD" w:rsidP="00390ABD">
      <w:pPr>
        <w:jc w:val="center"/>
        <w:rPr>
          <w:rFonts w:cstheme="minorHAnsi"/>
          <w:sz w:val="24"/>
          <w:szCs w:val="24"/>
        </w:rPr>
      </w:pPr>
      <w:r w:rsidRPr="00DE5745">
        <w:rPr>
          <w:rFonts w:cstheme="minorHAnsi"/>
          <w:sz w:val="24"/>
          <w:szCs w:val="24"/>
        </w:rPr>
        <w:t>MedSci Therapeutic Expertise : Oncology</w:t>
      </w:r>
    </w:p>
    <w:p w:rsidR="00390ABD" w:rsidRPr="00DE5745" w:rsidRDefault="00390ABD" w:rsidP="00390ABD">
      <w:pPr>
        <w:jc w:val="center"/>
        <w:rPr>
          <w:rFonts w:cstheme="minorHAnsi"/>
          <w:sz w:val="24"/>
          <w:szCs w:val="24"/>
        </w:rPr>
      </w:pPr>
      <w:r w:rsidRPr="00DE5745">
        <w:rPr>
          <w:rFonts w:cstheme="minorHAnsi"/>
          <w:sz w:val="24"/>
          <w:szCs w:val="24"/>
        </w:rPr>
        <w:t xml:space="preserve">Global Clinical Development </w:t>
      </w:r>
    </w:p>
    <w:p w:rsidR="00390ABD" w:rsidRPr="00DE5745" w:rsidRDefault="00390ABD" w:rsidP="00390ABD">
      <w:pPr>
        <w:jc w:val="center"/>
        <w:rPr>
          <w:rFonts w:cstheme="minorHAnsi"/>
          <w:sz w:val="24"/>
          <w:szCs w:val="24"/>
        </w:rPr>
      </w:pPr>
      <w:r w:rsidRPr="00DE5745">
        <w:rPr>
          <w:rFonts w:cstheme="minorHAnsi"/>
          <w:sz w:val="24"/>
          <w:szCs w:val="24"/>
        </w:rPr>
        <w:t>Labcorp Clinical Development, S.A.</w:t>
      </w:r>
    </w:p>
    <w:p w:rsidR="00390ABD" w:rsidRPr="00DE5745" w:rsidRDefault="00DE5745" w:rsidP="00DE5745">
      <w:pPr>
        <w:jc w:val="center"/>
        <w:rPr>
          <w:rFonts w:cstheme="minorHAnsi"/>
          <w:sz w:val="24"/>
          <w:szCs w:val="24"/>
        </w:rPr>
      </w:pPr>
      <w:r w:rsidRPr="00DE5745">
        <w:rPr>
          <w:rFonts w:cstheme="minorHAnsi"/>
          <w:sz w:val="24"/>
          <w:szCs w:val="24"/>
        </w:rPr>
        <w:t xml:space="preserve">Labcorp Drug Development Inc., </w:t>
      </w:r>
      <w:r w:rsidR="00390ABD" w:rsidRPr="00DE5745">
        <w:rPr>
          <w:rFonts w:cstheme="minorHAnsi"/>
          <w:sz w:val="24"/>
          <w:szCs w:val="24"/>
        </w:rPr>
        <w:t>headquarters</w:t>
      </w:r>
      <w:r w:rsidRPr="00DE5745">
        <w:rPr>
          <w:rFonts w:cstheme="minorHAnsi"/>
          <w:sz w:val="24"/>
          <w:szCs w:val="24"/>
        </w:rPr>
        <w:t xml:space="preserve"> in Burlington, North Carolina,</w:t>
      </w:r>
      <w:r w:rsidR="00390ABD" w:rsidRPr="00DE5745">
        <w:rPr>
          <w:rFonts w:cstheme="minorHAnsi"/>
          <w:sz w:val="24"/>
          <w:szCs w:val="24"/>
        </w:rPr>
        <w:t>USA</w:t>
      </w:r>
    </w:p>
    <w:p w:rsidR="00390ABD" w:rsidRDefault="00390ABD" w:rsidP="001C2C5D">
      <w:pPr>
        <w:spacing w:line="480" w:lineRule="auto"/>
        <w:rPr>
          <w:rFonts w:ascii="Georgia" w:hAnsi="Georgia"/>
          <w:b/>
          <w:bCs/>
        </w:rPr>
      </w:pPr>
    </w:p>
    <w:p w:rsidR="00924480" w:rsidRPr="00924480" w:rsidRDefault="00924480" w:rsidP="001C2C5D">
      <w:pPr>
        <w:spacing w:line="480" w:lineRule="auto"/>
        <w:rPr>
          <w:rFonts w:cstheme="minorHAnsi"/>
          <w:b/>
          <w:sz w:val="24"/>
          <w:szCs w:val="24"/>
        </w:rPr>
      </w:pPr>
      <w:r>
        <w:rPr>
          <w:rFonts w:ascii="Georgia" w:hAnsi="Georgia"/>
          <w:b/>
          <w:bCs/>
        </w:rPr>
        <w:t>Abstract</w:t>
      </w:r>
    </w:p>
    <w:p w:rsidR="009667FC" w:rsidRPr="00FA409D" w:rsidRDefault="001C2C5D" w:rsidP="00924480">
      <w:pPr>
        <w:spacing w:line="480" w:lineRule="auto"/>
        <w:rPr>
          <w:sz w:val="24"/>
          <w:szCs w:val="24"/>
        </w:rPr>
      </w:pPr>
      <w:r>
        <w:rPr>
          <w:rFonts w:cstheme="minorHAnsi"/>
          <w:sz w:val="24"/>
          <w:szCs w:val="24"/>
        </w:rPr>
        <w:t xml:space="preserve">The inclusion of healthy volunteers (HVs) in first in human (FIH) oncology clinical trials with small molecules, including targeted and immunomodulatory agents, is a strategy that was not envisioned with classic chemotherapy. To be able to proceed with this approach, a FIH oncology trial in HVs requires an extensive and robust nonclinical package including toxicokinetic and pharmacokinetic, thorough safety pharmacology, toxicology and genotoxicity studies compared to cancer patients (CPs). This strategy could provide an early characterization of the pharmacokinetic parameters and clinical safety profile in the </w:t>
      </w:r>
      <w:r>
        <w:rPr>
          <w:sz w:val="24"/>
          <w:szCs w:val="24"/>
        </w:rPr>
        <w:t>absence of comorbidities and concomitant medication. It also may avoid the ethical considerations around the administration of sub-therapeutic doses to CPs, and could potentially help to accelerate the timelines of clinical drug development with same oncology agents. However, t</w:t>
      </w:r>
      <w:r>
        <w:rPr>
          <w:sz w:val="24"/>
          <w:szCs w:val="24"/>
          <w:lang w:val="en-GB"/>
        </w:rPr>
        <w:t>he choice</w:t>
      </w:r>
      <w:r w:rsidR="00924480" w:rsidRPr="00924480">
        <w:rPr>
          <w:sz w:val="24"/>
          <w:szCs w:val="24"/>
          <w:lang w:val="en-GB"/>
        </w:rPr>
        <w:t xml:space="preserve"> </w:t>
      </w:r>
      <w:r w:rsidR="00924480">
        <w:rPr>
          <w:sz w:val="24"/>
          <w:szCs w:val="24"/>
          <w:lang w:val="en-GB"/>
        </w:rPr>
        <w:t>of the population of FIH clinical trials evaluating oncology therapeutics</w:t>
      </w:r>
      <w:r>
        <w:rPr>
          <w:sz w:val="24"/>
          <w:szCs w:val="24"/>
          <w:lang w:val="en-GB"/>
        </w:rPr>
        <w:t xml:space="preserve"> must be </w:t>
      </w:r>
      <w:r w:rsidR="00924480">
        <w:rPr>
          <w:sz w:val="24"/>
          <w:szCs w:val="24"/>
          <w:lang w:val="en-GB"/>
        </w:rPr>
        <w:t xml:space="preserve">properly assessing </w:t>
      </w:r>
      <w:r>
        <w:rPr>
          <w:sz w:val="24"/>
          <w:szCs w:val="24"/>
          <w:lang w:val="en-GB"/>
        </w:rPr>
        <w:t>on a case-by case-basis</w:t>
      </w:r>
      <w:r w:rsidR="00924480">
        <w:rPr>
          <w:sz w:val="24"/>
          <w:szCs w:val="24"/>
          <w:lang w:val="en-GB"/>
        </w:rPr>
        <w:t>,</w:t>
      </w:r>
      <w:r>
        <w:rPr>
          <w:sz w:val="24"/>
          <w:szCs w:val="24"/>
          <w:lang w:val="en-GB"/>
        </w:rPr>
        <w:t xml:space="preserve"> </w:t>
      </w:r>
      <w:r w:rsidR="00924480">
        <w:rPr>
          <w:sz w:val="24"/>
          <w:szCs w:val="24"/>
          <w:lang w:val="en-GB"/>
        </w:rPr>
        <w:t xml:space="preserve">with </w:t>
      </w:r>
      <w:r w:rsidR="00924480">
        <w:rPr>
          <w:sz w:val="24"/>
          <w:szCs w:val="24"/>
        </w:rPr>
        <w:t xml:space="preserve">fully understanding of the regulatory guidance and thoroughly evaluation of </w:t>
      </w:r>
      <w:r w:rsidR="00924480">
        <w:rPr>
          <w:sz w:val="24"/>
          <w:szCs w:val="24"/>
        </w:rPr>
        <w:lastRenderedPageBreak/>
        <w:t>the benefits and risks</w:t>
      </w:r>
      <w:r w:rsidR="00924480" w:rsidRPr="00FA409D">
        <w:rPr>
          <w:sz w:val="24"/>
          <w:szCs w:val="24"/>
        </w:rPr>
        <w:t xml:space="preserve"> in order to select the best scenario to advance the drug development in a responsible and efficient manner.</w:t>
      </w:r>
    </w:p>
    <w:p w:rsidR="00FA409D" w:rsidRDefault="00FA409D" w:rsidP="00924480">
      <w:pPr>
        <w:spacing w:line="480" w:lineRule="auto"/>
        <w:rPr>
          <w:sz w:val="24"/>
          <w:szCs w:val="24"/>
        </w:rPr>
      </w:pPr>
      <w:r w:rsidRPr="00FA409D">
        <w:rPr>
          <w:sz w:val="24"/>
          <w:szCs w:val="24"/>
        </w:rPr>
        <w:t>Th</w:t>
      </w:r>
      <w:r>
        <w:rPr>
          <w:sz w:val="24"/>
          <w:szCs w:val="24"/>
        </w:rPr>
        <w:t>e</w:t>
      </w:r>
      <w:r w:rsidRPr="00FA409D">
        <w:rPr>
          <w:sz w:val="24"/>
          <w:szCs w:val="24"/>
        </w:rPr>
        <w:t xml:space="preserve"> paper was </w:t>
      </w:r>
      <w:r>
        <w:rPr>
          <w:sz w:val="24"/>
          <w:szCs w:val="24"/>
        </w:rPr>
        <w:t>a</w:t>
      </w:r>
      <w:r w:rsidRPr="00FA409D">
        <w:rPr>
          <w:sz w:val="24"/>
          <w:szCs w:val="24"/>
        </w:rPr>
        <w:t>ccepted</w:t>
      </w:r>
      <w:r>
        <w:rPr>
          <w:sz w:val="24"/>
          <w:szCs w:val="24"/>
        </w:rPr>
        <w:t xml:space="preserve"> in</w:t>
      </w:r>
      <w:bookmarkStart w:id="0" w:name="_GoBack"/>
      <w:bookmarkEnd w:id="0"/>
      <w:r w:rsidRPr="00FA409D">
        <w:rPr>
          <w:sz w:val="24"/>
          <w:szCs w:val="24"/>
        </w:rPr>
        <w:t xml:space="preserve"> </w:t>
      </w:r>
      <w:r w:rsidRPr="00FA409D">
        <w:rPr>
          <w:sz w:val="24"/>
          <w:szCs w:val="24"/>
        </w:rPr>
        <w:t>September</w:t>
      </w:r>
      <w:r w:rsidRPr="00FA409D">
        <w:rPr>
          <w:sz w:val="24"/>
          <w:szCs w:val="24"/>
        </w:rPr>
        <w:t xml:space="preserve"> 14</w:t>
      </w:r>
      <w:r>
        <w:rPr>
          <w:sz w:val="24"/>
          <w:szCs w:val="24"/>
        </w:rPr>
        <w:t>,</w:t>
      </w:r>
      <w:r w:rsidRPr="00FA409D">
        <w:rPr>
          <w:sz w:val="24"/>
          <w:szCs w:val="24"/>
        </w:rPr>
        <w:t xml:space="preserve"> </w:t>
      </w:r>
      <w:r w:rsidRPr="00FA409D">
        <w:rPr>
          <w:sz w:val="24"/>
          <w:szCs w:val="24"/>
        </w:rPr>
        <w:t xml:space="preserve"> 2021</w:t>
      </w:r>
      <w:r w:rsidRPr="00FA409D">
        <w:rPr>
          <w:sz w:val="24"/>
          <w:szCs w:val="24"/>
        </w:rPr>
        <w:t xml:space="preserve"> and published in the British Journal Clinical Pharmacology </w:t>
      </w:r>
      <w:hyperlink r:id="rId7" w:history="1">
        <w:r w:rsidRPr="007A32E8">
          <w:rPr>
            <w:rStyle w:val="Hyperlink"/>
            <w:sz w:val="24"/>
            <w:szCs w:val="24"/>
          </w:rPr>
          <w:t>https://bpspubs.onlinelibrary.wiley.com/doi/10.1111/bcp.15092</w:t>
        </w:r>
      </w:hyperlink>
    </w:p>
    <w:p w:rsidR="00FA409D" w:rsidRPr="00FA409D" w:rsidRDefault="00FA409D" w:rsidP="00924480">
      <w:pPr>
        <w:spacing w:line="480" w:lineRule="auto"/>
        <w:rPr>
          <w:sz w:val="24"/>
          <w:szCs w:val="24"/>
        </w:rPr>
      </w:pPr>
    </w:p>
    <w:p w:rsidR="00DE5745" w:rsidRPr="00C509A5" w:rsidRDefault="00DE5745" w:rsidP="00DE5745">
      <w:pPr>
        <w:jc w:val="both"/>
        <w:rPr>
          <w:b/>
          <w:sz w:val="24"/>
          <w:szCs w:val="24"/>
        </w:rPr>
      </w:pPr>
      <w:r w:rsidRPr="00C509A5">
        <w:rPr>
          <w:b/>
          <w:sz w:val="24"/>
          <w:szCs w:val="24"/>
        </w:rPr>
        <w:t>Biography</w:t>
      </w:r>
    </w:p>
    <w:p w:rsidR="00DE5745" w:rsidRPr="00DE5745" w:rsidRDefault="00DE5745" w:rsidP="00DE5745">
      <w:pPr>
        <w:widowControl w:val="0"/>
        <w:autoSpaceDE w:val="0"/>
        <w:autoSpaceDN w:val="0"/>
        <w:adjustRightInd w:val="0"/>
        <w:spacing w:line="480" w:lineRule="auto"/>
        <w:rPr>
          <w:sz w:val="24"/>
          <w:szCs w:val="24"/>
        </w:rPr>
      </w:pPr>
      <w:r w:rsidRPr="00DE5745">
        <w:rPr>
          <w:sz w:val="24"/>
          <w:szCs w:val="24"/>
        </w:rPr>
        <w:t>I am board certified Medical Oncologist, from “University Autonoma de Madrid”, Spain, with almost 20 years of national and international clinical/clinical research oncology experience, Phase I-III in different solid tumors/hematological malignancies. I provided significant contribution to several INDs, orphan drug applications and one NDA. Co-author of 8 book chapters and author/co-author of more than 20 papers in oncology.  More than 40 presentations delivered in Spanish and international conferences. Named as inventor of two patent applications, according to the contribution to the clinical trials. Member of the Spanish Society of Medical Oncology, European Society of Clinical Oncology, American Society of Clinical Oncology and Madrid Medical’s School</w:t>
      </w:r>
    </w:p>
    <w:p w:rsidR="005D6BDF" w:rsidRPr="005D6BDF" w:rsidRDefault="005D6BDF" w:rsidP="005D6BDF">
      <w:pPr>
        <w:spacing w:line="480" w:lineRule="auto"/>
        <w:rPr>
          <w:rFonts w:eastAsiaTheme="minorEastAsia" w:cs="Times New Roman"/>
          <w:bCs/>
          <w:noProof/>
          <w:color w:val="1F497D"/>
        </w:rPr>
      </w:pPr>
      <w:r>
        <w:rPr>
          <w:b/>
          <w:lang w:val="en-NZ"/>
        </w:rPr>
        <w:t xml:space="preserve">Presenting author details </w:t>
      </w:r>
      <w:r>
        <w:rPr>
          <w:b/>
          <w:lang w:val="en-NZ"/>
        </w:rPr>
        <w:br/>
      </w:r>
      <w:r>
        <w:rPr>
          <w:lang w:val="en-NZ"/>
        </w:rPr>
        <w:t xml:space="preserve">Full name: </w:t>
      </w:r>
      <w:r w:rsidRPr="005D6BDF">
        <w:rPr>
          <w:sz w:val="24"/>
          <w:szCs w:val="24"/>
        </w:rPr>
        <w:t>Begoña de las Heras Garcia, MD</w:t>
      </w:r>
      <w:r>
        <w:rPr>
          <w:lang w:val="en-NZ"/>
        </w:rPr>
        <w:br/>
        <w:t>Contact number: 0034650650409</w:t>
      </w:r>
      <w:r>
        <w:rPr>
          <w:lang w:val="en-NZ"/>
        </w:rPr>
        <w:br/>
        <w:t>Twitter account:</w:t>
      </w:r>
      <w:r>
        <w:rPr>
          <w:lang w:val="en-NZ"/>
        </w:rPr>
        <w:br/>
        <w:t xml:space="preserve">Linked In account: </w:t>
      </w:r>
      <w:r w:rsidRPr="005D6BDF">
        <w:rPr>
          <w:lang w:val="en-NZ"/>
        </w:rPr>
        <w:t>https://www.linkedin.com/in/bego%C3%B1a-de-las-heras-garcia-35731618/</w:t>
      </w:r>
    </w:p>
    <w:p w:rsidR="005D6BDF" w:rsidRDefault="005D6BDF" w:rsidP="005D6BDF">
      <w:pPr>
        <w:autoSpaceDE w:val="0"/>
        <w:autoSpaceDN w:val="0"/>
        <w:adjustRightInd w:val="0"/>
        <w:spacing w:line="480" w:lineRule="auto"/>
        <w:rPr>
          <w:lang w:val="en-NZ"/>
        </w:rPr>
      </w:pPr>
      <w:r>
        <w:rPr>
          <w:lang w:val="en-NZ"/>
        </w:rPr>
        <w:lastRenderedPageBreak/>
        <w:t xml:space="preserve">Session name/ number: </w:t>
      </w:r>
      <w:r>
        <w:rPr>
          <w:lang w:val="en-NZ"/>
        </w:rPr>
        <w:br/>
        <w:t>Category: (Oral presentation/ Poster presentation)</w:t>
      </w:r>
      <w:r w:rsidR="00C509A5">
        <w:rPr>
          <w:lang w:val="en-NZ"/>
        </w:rPr>
        <w:t>: Oral presentation</w:t>
      </w:r>
      <w:r>
        <w:rPr>
          <w:lang w:val="en-NZ"/>
        </w:rPr>
        <w:br/>
      </w:r>
    </w:p>
    <w:p w:rsidR="00DE5745" w:rsidRPr="005D6BDF" w:rsidRDefault="00DE5745" w:rsidP="00924480">
      <w:pPr>
        <w:spacing w:line="480" w:lineRule="auto"/>
        <w:rPr>
          <w:lang w:val="en-NZ"/>
        </w:rPr>
      </w:pPr>
    </w:p>
    <w:sectPr w:rsidR="00DE5745" w:rsidRPr="005D6B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9D3" w:rsidRDefault="00D059D3" w:rsidP="00924480">
      <w:pPr>
        <w:spacing w:after="0" w:line="240" w:lineRule="auto"/>
      </w:pPr>
      <w:r>
        <w:separator/>
      </w:r>
    </w:p>
  </w:endnote>
  <w:endnote w:type="continuationSeparator" w:id="0">
    <w:p w:rsidR="00D059D3" w:rsidRDefault="00D059D3" w:rsidP="0092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w:altName w:val="Mistral"/>
    <w:charset w:val="00"/>
    <w:family w:val="script"/>
    <w:pitch w:val="variable"/>
    <w:sig w:usb0="00000001"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PMincho">
    <w:panose1 w:val="02020600040205080304"/>
    <w:charset w:val="80"/>
    <w:family w:val="roman"/>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9D3" w:rsidRDefault="00D059D3" w:rsidP="00924480">
      <w:pPr>
        <w:spacing w:after="0" w:line="240" w:lineRule="auto"/>
      </w:pPr>
      <w:r>
        <w:separator/>
      </w:r>
    </w:p>
  </w:footnote>
  <w:footnote w:type="continuationSeparator" w:id="0">
    <w:p w:rsidR="00D059D3" w:rsidRDefault="00D059D3" w:rsidP="00924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11155"/>
    <w:multiLevelType w:val="multilevel"/>
    <w:tmpl w:val="29FC1342"/>
    <w:lvl w:ilvl="0">
      <w:start w:val="1"/>
      <w:numFmt w:val="none"/>
      <w:pStyle w:val="05-NormalBodyText"/>
      <w:lvlText w:val=""/>
      <w:lvlJc w:val="left"/>
      <w:pPr>
        <w:tabs>
          <w:tab w:val="num" w:pos="0"/>
        </w:tabs>
        <w:ind w:left="0" w:firstLine="0"/>
      </w:pPr>
      <w:rPr>
        <w:rFonts w:hint="default"/>
      </w:rPr>
    </w:lvl>
    <w:lvl w:ilvl="1">
      <w:start w:val="1"/>
      <w:numFmt w:val="bullet"/>
      <w:pStyle w:val="06-CovanceBulletLevel1"/>
      <w:lvlText w:val="►"/>
      <w:lvlJc w:val="left"/>
      <w:pPr>
        <w:ind w:left="644" w:hanging="360"/>
      </w:pPr>
      <w:rPr>
        <w:rFonts w:ascii="Arial" w:hAnsi="Arial" w:hint="default"/>
        <w:color w:val="000000" w:themeColor="text1"/>
      </w:rPr>
    </w:lvl>
    <w:lvl w:ilvl="2">
      <w:start w:val="1"/>
      <w:numFmt w:val="bullet"/>
      <w:pStyle w:val="07-CovanceBulletLevel2"/>
      <w:lvlText w:val="•"/>
      <w:lvlJc w:val="left"/>
      <w:pPr>
        <w:ind w:left="1080" w:hanging="360"/>
      </w:pPr>
      <w:rPr>
        <w:rFonts w:ascii="Times" w:hAnsi="Times" w:hint="default"/>
      </w:rPr>
    </w:lvl>
    <w:lvl w:ilvl="3">
      <w:start w:val="1"/>
      <w:numFmt w:val="bullet"/>
      <w:pStyle w:val="08-CovanceBulletLevel3"/>
      <w:lvlText w:val="–"/>
      <w:lvlJc w:val="left"/>
      <w:pPr>
        <w:ind w:left="1440" w:hanging="360"/>
      </w:pPr>
      <w:rPr>
        <w:rFonts w:ascii="Arial" w:hAnsi="Arial" w:hint="default"/>
      </w:rPr>
    </w:lvl>
    <w:lvl w:ilvl="4">
      <w:start w:val="1"/>
      <w:numFmt w:val="bullet"/>
      <w:pStyle w:val="09-CovanceBulletLevel4"/>
      <w:lvlText w:val=""/>
      <w:lvlJc w:val="left"/>
      <w:pPr>
        <w:ind w:left="1800" w:hanging="360"/>
      </w:pPr>
      <w:rPr>
        <w:rFonts w:ascii="Wingdings 3" w:hAnsi="Wingdings 3" w:hint="default"/>
        <w:color w:val="1A1A1A"/>
      </w:rPr>
    </w:lvl>
    <w:lvl w:ilvl="5">
      <w:start w:val="1"/>
      <w:numFmt w:val="bullet"/>
      <w:pStyle w:val="10-CovanceBulletLevel5"/>
      <w:lvlText w:val="º"/>
      <w:lvlJc w:val="left"/>
      <w:pPr>
        <w:ind w:left="2160" w:hanging="360"/>
      </w:pPr>
      <w:rPr>
        <w:rFonts w:ascii="Segoe" w:hAnsi="Segoe" w:hint="default"/>
      </w:rPr>
    </w:lvl>
    <w:lvl w:ilvl="6">
      <w:start w:val="1"/>
      <w:numFmt w:val="none"/>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C5D"/>
    <w:rsid w:val="001C2C5D"/>
    <w:rsid w:val="00390ABD"/>
    <w:rsid w:val="005D6BDF"/>
    <w:rsid w:val="00652CAC"/>
    <w:rsid w:val="006C0AE9"/>
    <w:rsid w:val="00924480"/>
    <w:rsid w:val="00BD5293"/>
    <w:rsid w:val="00C509A5"/>
    <w:rsid w:val="00D059D3"/>
    <w:rsid w:val="00D411A6"/>
    <w:rsid w:val="00DE5745"/>
    <w:rsid w:val="00FA4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C6F19"/>
  <w15:chartTrackingRefBased/>
  <w15:docId w15:val="{BAD7A782-E03E-4E24-8584-E22E5C73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C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CovanceBulletLevel1">
    <w:name w:val="06 - Covance Bullet Level 1"/>
    <w:basedOn w:val="Normal"/>
    <w:qFormat/>
    <w:rsid w:val="00DE5745"/>
    <w:pPr>
      <w:numPr>
        <w:ilvl w:val="1"/>
        <w:numId w:val="1"/>
      </w:numPr>
      <w:spacing w:after="60" w:line="264" w:lineRule="auto"/>
      <w:ind w:left="720" w:right="43"/>
      <w:outlineLvl w:val="0"/>
    </w:pPr>
    <w:rPr>
      <w:rFonts w:ascii="Times New Roman" w:eastAsia="Times New Roman" w:hAnsi="Times New Roman" w:cs="Times New Roman"/>
      <w:color w:val="1A1A1A"/>
      <w:sz w:val="24"/>
      <w:szCs w:val="24"/>
    </w:rPr>
  </w:style>
  <w:style w:type="paragraph" w:customStyle="1" w:styleId="07-CovanceBulletLevel2">
    <w:name w:val="07 - Covance Bullet Level 2"/>
    <w:basedOn w:val="Normal"/>
    <w:qFormat/>
    <w:rsid w:val="00DE5745"/>
    <w:pPr>
      <w:numPr>
        <w:ilvl w:val="2"/>
        <w:numId w:val="1"/>
      </w:numPr>
      <w:spacing w:after="60" w:line="264" w:lineRule="auto"/>
      <w:ind w:right="43"/>
      <w:contextualSpacing/>
    </w:pPr>
    <w:rPr>
      <w:rFonts w:ascii="Times New Roman" w:eastAsia="Times New Roman" w:hAnsi="Times New Roman" w:cs="Arial"/>
      <w:color w:val="1A1A1A"/>
      <w:szCs w:val="24"/>
    </w:rPr>
  </w:style>
  <w:style w:type="paragraph" w:customStyle="1" w:styleId="08-CovanceBulletLevel3">
    <w:name w:val="08 - Covance Bullet Level 3"/>
    <w:basedOn w:val="Normal"/>
    <w:qFormat/>
    <w:rsid w:val="00DE5745"/>
    <w:pPr>
      <w:numPr>
        <w:ilvl w:val="3"/>
        <w:numId w:val="1"/>
      </w:numPr>
      <w:spacing w:after="60" w:line="264" w:lineRule="auto"/>
      <w:ind w:right="43"/>
      <w:contextualSpacing/>
    </w:pPr>
    <w:rPr>
      <w:rFonts w:ascii="Times New Roman" w:eastAsia="Times New Roman" w:hAnsi="Times New Roman" w:cs="Times New Roman"/>
      <w:color w:val="1A1A1A"/>
      <w:sz w:val="20"/>
      <w:szCs w:val="24"/>
    </w:rPr>
  </w:style>
  <w:style w:type="paragraph" w:customStyle="1" w:styleId="09-CovanceBulletLevel4">
    <w:name w:val="09 - Covance Bullet Level 4"/>
    <w:basedOn w:val="Normal"/>
    <w:qFormat/>
    <w:rsid w:val="00DE5745"/>
    <w:pPr>
      <w:numPr>
        <w:ilvl w:val="4"/>
        <w:numId w:val="1"/>
      </w:numPr>
      <w:spacing w:after="40" w:line="264" w:lineRule="auto"/>
      <w:ind w:right="43"/>
      <w:contextualSpacing/>
    </w:pPr>
    <w:rPr>
      <w:rFonts w:ascii="Times New Roman" w:eastAsia="Times New Roman" w:hAnsi="Times New Roman" w:cs="Times New Roman"/>
      <w:color w:val="1A1A1A"/>
      <w:sz w:val="18"/>
      <w:szCs w:val="18"/>
    </w:rPr>
  </w:style>
  <w:style w:type="paragraph" w:customStyle="1" w:styleId="05-NormalBodyText">
    <w:name w:val="05 - Normal Body Text"/>
    <w:basedOn w:val="BodyText"/>
    <w:qFormat/>
    <w:rsid w:val="00DE5745"/>
    <w:pPr>
      <w:numPr>
        <w:numId w:val="1"/>
      </w:numPr>
      <w:tabs>
        <w:tab w:val="clear" w:pos="0"/>
        <w:tab w:val="num" w:pos="360"/>
      </w:tabs>
      <w:spacing w:line="240" w:lineRule="auto"/>
      <w:ind w:right="36"/>
    </w:pPr>
    <w:rPr>
      <w:rFonts w:ascii="Times New Roman" w:eastAsia="MS PMincho" w:hAnsi="Times New Roman" w:cs="Times New Roman"/>
      <w:color w:val="1A1A1A"/>
      <w:sz w:val="24"/>
      <w:szCs w:val="24"/>
    </w:rPr>
  </w:style>
  <w:style w:type="paragraph" w:customStyle="1" w:styleId="10-CovanceBulletLevel5">
    <w:name w:val="10 - Covance Bullet Level 5"/>
    <w:basedOn w:val="09-CovanceBulletLevel4"/>
    <w:next w:val="05-NormalBodyText"/>
    <w:qFormat/>
    <w:rsid w:val="00DE5745"/>
    <w:pPr>
      <w:numPr>
        <w:ilvl w:val="5"/>
      </w:numPr>
    </w:pPr>
    <w:rPr>
      <w:sz w:val="16"/>
      <w:szCs w:val="16"/>
    </w:rPr>
  </w:style>
  <w:style w:type="paragraph" w:styleId="BodyText">
    <w:name w:val="Body Text"/>
    <w:basedOn w:val="Normal"/>
    <w:link w:val="BodyTextChar"/>
    <w:uiPriority w:val="99"/>
    <w:semiHidden/>
    <w:unhideWhenUsed/>
    <w:rsid w:val="00DE5745"/>
    <w:pPr>
      <w:spacing w:after="120"/>
    </w:pPr>
  </w:style>
  <w:style w:type="character" w:customStyle="1" w:styleId="BodyTextChar">
    <w:name w:val="Body Text Char"/>
    <w:basedOn w:val="DefaultParagraphFont"/>
    <w:link w:val="BodyText"/>
    <w:uiPriority w:val="99"/>
    <w:semiHidden/>
    <w:rsid w:val="00DE5745"/>
  </w:style>
  <w:style w:type="character" w:styleId="Hyperlink">
    <w:name w:val="Hyperlink"/>
    <w:basedOn w:val="DefaultParagraphFont"/>
    <w:uiPriority w:val="99"/>
    <w:unhideWhenUsed/>
    <w:rsid w:val="00FA40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081253">
      <w:bodyDiv w:val="1"/>
      <w:marLeft w:val="0"/>
      <w:marRight w:val="0"/>
      <w:marTop w:val="0"/>
      <w:marBottom w:val="0"/>
      <w:divBdr>
        <w:top w:val="none" w:sz="0" w:space="0" w:color="auto"/>
        <w:left w:val="none" w:sz="0" w:space="0" w:color="auto"/>
        <w:bottom w:val="none" w:sz="0" w:space="0" w:color="auto"/>
        <w:right w:val="none" w:sz="0" w:space="0" w:color="auto"/>
      </w:divBdr>
    </w:div>
    <w:div w:id="1043627951">
      <w:bodyDiv w:val="1"/>
      <w:marLeft w:val="0"/>
      <w:marRight w:val="0"/>
      <w:marTop w:val="0"/>
      <w:marBottom w:val="0"/>
      <w:divBdr>
        <w:top w:val="none" w:sz="0" w:space="0" w:color="auto"/>
        <w:left w:val="none" w:sz="0" w:space="0" w:color="auto"/>
        <w:bottom w:val="none" w:sz="0" w:space="0" w:color="auto"/>
        <w:right w:val="none" w:sz="0" w:space="0" w:color="auto"/>
      </w:divBdr>
    </w:div>
    <w:div w:id="1319266120">
      <w:bodyDiv w:val="1"/>
      <w:marLeft w:val="0"/>
      <w:marRight w:val="0"/>
      <w:marTop w:val="0"/>
      <w:marBottom w:val="0"/>
      <w:divBdr>
        <w:top w:val="none" w:sz="0" w:space="0" w:color="auto"/>
        <w:left w:val="none" w:sz="0" w:space="0" w:color="auto"/>
        <w:bottom w:val="none" w:sz="0" w:space="0" w:color="auto"/>
        <w:right w:val="none" w:sz="0" w:space="0" w:color="auto"/>
      </w:divBdr>
    </w:div>
    <w:div w:id="1496073483">
      <w:bodyDiv w:val="1"/>
      <w:marLeft w:val="0"/>
      <w:marRight w:val="0"/>
      <w:marTop w:val="0"/>
      <w:marBottom w:val="0"/>
      <w:divBdr>
        <w:top w:val="none" w:sz="0" w:space="0" w:color="auto"/>
        <w:left w:val="none" w:sz="0" w:space="0" w:color="auto"/>
        <w:bottom w:val="none" w:sz="0" w:space="0" w:color="auto"/>
        <w:right w:val="none" w:sz="0" w:space="0" w:color="auto"/>
      </w:divBdr>
    </w:div>
    <w:div w:id="1514149261">
      <w:bodyDiv w:val="1"/>
      <w:marLeft w:val="0"/>
      <w:marRight w:val="0"/>
      <w:marTop w:val="0"/>
      <w:marBottom w:val="0"/>
      <w:divBdr>
        <w:top w:val="none" w:sz="0" w:space="0" w:color="auto"/>
        <w:left w:val="none" w:sz="0" w:space="0" w:color="auto"/>
        <w:bottom w:val="none" w:sz="0" w:space="0" w:color="auto"/>
        <w:right w:val="none" w:sz="0" w:space="0" w:color="auto"/>
      </w:divBdr>
    </w:div>
    <w:div w:id="170393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pspubs.onlinelibrary.wiley.com/doi/10.1111/bcp.15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LH</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Heras, Begona</dc:creator>
  <cp:keywords/>
  <dc:description/>
  <cp:lastModifiedBy>Heras, Begona</cp:lastModifiedBy>
  <cp:revision>4</cp:revision>
  <dcterms:created xsi:type="dcterms:W3CDTF">2021-11-09T04:41:00Z</dcterms:created>
  <dcterms:modified xsi:type="dcterms:W3CDTF">2021-11-11T13:24:00Z</dcterms:modified>
</cp:coreProperties>
</file>