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480" w:rsidRPr="00924480" w:rsidRDefault="00924480" w:rsidP="001C2C5D">
      <w:pPr>
        <w:spacing w:line="480" w:lineRule="auto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Conference. </w:t>
      </w:r>
      <w:r w:rsidRPr="00924480">
        <w:rPr>
          <w:rFonts w:ascii="Georgia" w:hAnsi="Georgia"/>
          <w:b/>
        </w:rPr>
        <w:t>Novel ideas and Advanced perception in Medicinal Chemistry and Drug Design</w:t>
      </w:r>
      <w:r>
        <w:rPr>
          <w:rFonts w:ascii="Georgia" w:hAnsi="Georgia"/>
          <w:b/>
        </w:rPr>
        <w:t xml:space="preserve">. </w:t>
      </w:r>
      <w:r>
        <w:rPr>
          <w:rFonts w:ascii="Georgia" w:hAnsi="Georgia"/>
          <w:b/>
          <w:bCs/>
        </w:rPr>
        <w:t>December 16-17,2021</w:t>
      </w:r>
    </w:p>
    <w:p w:rsidR="00924480" w:rsidRDefault="00924480" w:rsidP="001C2C5D">
      <w:pPr>
        <w:spacing w:line="480" w:lineRule="auto"/>
        <w:rPr>
          <w:rFonts w:ascii="Georgia" w:hAnsi="Georgia"/>
          <w:b/>
          <w:bCs/>
        </w:rPr>
      </w:pPr>
    </w:p>
    <w:p w:rsidR="00924480" w:rsidRDefault="00924480" w:rsidP="001C2C5D">
      <w:pPr>
        <w:spacing w:line="480" w:lineRule="auto"/>
        <w:rPr>
          <w:rFonts w:ascii="Georgia" w:hAnsi="Georgia"/>
          <w:b/>
          <w:bCs/>
        </w:rPr>
      </w:pPr>
    </w:p>
    <w:p w:rsidR="00924480" w:rsidRDefault="00924480" w:rsidP="001C2C5D">
      <w:pPr>
        <w:spacing w:line="480" w:lineRule="auto"/>
        <w:rPr>
          <w:rFonts w:ascii="Georgia" w:hAnsi="Georgia"/>
          <w:b/>
          <w:bCs/>
        </w:rPr>
      </w:pPr>
      <w:bookmarkStart w:id="0" w:name="_GoBack"/>
      <w:bookmarkEnd w:id="0"/>
      <w:r>
        <w:rPr>
          <w:rFonts w:ascii="Georgia" w:hAnsi="Georgia"/>
          <w:b/>
          <w:bCs/>
        </w:rPr>
        <w:t>Healthy volunteers in first-in-human oncology drug development for small molecules</w:t>
      </w:r>
    </w:p>
    <w:p w:rsidR="00924480" w:rsidRPr="00924480" w:rsidRDefault="00924480" w:rsidP="001C2C5D">
      <w:pPr>
        <w:spacing w:line="480" w:lineRule="auto"/>
        <w:rPr>
          <w:rFonts w:cstheme="minorHAnsi"/>
          <w:b/>
          <w:sz w:val="24"/>
          <w:szCs w:val="24"/>
        </w:rPr>
      </w:pPr>
      <w:r>
        <w:rPr>
          <w:rFonts w:ascii="Georgia" w:hAnsi="Georgia"/>
          <w:b/>
          <w:bCs/>
        </w:rPr>
        <w:t>Abstract</w:t>
      </w:r>
    </w:p>
    <w:p w:rsidR="009667FC" w:rsidRDefault="001C2C5D" w:rsidP="00924480">
      <w:pPr>
        <w:spacing w:line="480" w:lineRule="auto"/>
      </w:pPr>
      <w:r>
        <w:rPr>
          <w:rFonts w:cstheme="minorHAnsi"/>
          <w:sz w:val="24"/>
          <w:szCs w:val="24"/>
        </w:rPr>
        <w:t>T</w:t>
      </w:r>
      <w:r>
        <w:rPr>
          <w:rFonts w:cstheme="minorHAnsi"/>
          <w:sz w:val="24"/>
          <w:szCs w:val="24"/>
        </w:rPr>
        <w:t>he inclusion of healthy volunteers (HVs) in first in human (FIH) oncology clinical trials with small molecules, including targete</w:t>
      </w:r>
      <w:r>
        <w:rPr>
          <w:rFonts w:cstheme="minorHAnsi"/>
          <w:sz w:val="24"/>
          <w:szCs w:val="24"/>
        </w:rPr>
        <w:t>d and immunomodulatory agents, is a</w:t>
      </w:r>
      <w:r>
        <w:rPr>
          <w:rFonts w:cstheme="minorHAnsi"/>
          <w:sz w:val="24"/>
          <w:szCs w:val="24"/>
        </w:rPr>
        <w:t xml:space="preserve"> strategy that was not envisioned with classic chemotherapy. To </w:t>
      </w:r>
      <w:r>
        <w:rPr>
          <w:rFonts w:cstheme="minorHAnsi"/>
          <w:sz w:val="24"/>
          <w:szCs w:val="24"/>
        </w:rPr>
        <w:t xml:space="preserve">be able to proceed with this approach, </w:t>
      </w:r>
      <w:r>
        <w:rPr>
          <w:rFonts w:cstheme="minorHAnsi"/>
          <w:sz w:val="24"/>
          <w:szCs w:val="24"/>
        </w:rPr>
        <w:t xml:space="preserve">a FIH oncology trial in HVs </w:t>
      </w:r>
      <w:r>
        <w:rPr>
          <w:rFonts w:cstheme="minorHAnsi"/>
          <w:sz w:val="24"/>
          <w:szCs w:val="24"/>
        </w:rPr>
        <w:t xml:space="preserve">requires an extensive and </w:t>
      </w:r>
      <w:r>
        <w:rPr>
          <w:rFonts w:cstheme="minorHAnsi"/>
          <w:sz w:val="24"/>
          <w:szCs w:val="24"/>
        </w:rPr>
        <w:t>robust nonclinical package</w:t>
      </w:r>
      <w:r>
        <w:rPr>
          <w:rFonts w:cstheme="minorHAnsi"/>
          <w:sz w:val="24"/>
          <w:szCs w:val="24"/>
        </w:rPr>
        <w:t xml:space="preserve"> including </w:t>
      </w:r>
      <w:r>
        <w:rPr>
          <w:rFonts w:cstheme="minorHAnsi"/>
          <w:sz w:val="24"/>
          <w:szCs w:val="24"/>
        </w:rPr>
        <w:t xml:space="preserve">toxicokinetic and pharmacokinetic, </w:t>
      </w:r>
      <w:r>
        <w:rPr>
          <w:rFonts w:cstheme="minorHAnsi"/>
          <w:sz w:val="24"/>
          <w:szCs w:val="24"/>
        </w:rPr>
        <w:t xml:space="preserve">thorough </w:t>
      </w:r>
      <w:r>
        <w:rPr>
          <w:rFonts w:cstheme="minorHAnsi"/>
          <w:sz w:val="24"/>
          <w:szCs w:val="24"/>
        </w:rPr>
        <w:t>safety pharmacology, toxicology and genotoxicity studies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compared to cancer patients (CPs). This strategy could provide an early characterization of the pharmacokinetic parameters and clinical safety profile in the </w:t>
      </w:r>
      <w:r>
        <w:rPr>
          <w:sz w:val="24"/>
          <w:szCs w:val="24"/>
        </w:rPr>
        <w:t xml:space="preserve">absence of comorbidities and concomitant medication. It also </w:t>
      </w:r>
      <w:r>
        <w:rPr>
          <w:sz w:val="24"/>
          <w:szCs w:val="24"/>
        </w:rPr>
        <w:t xml:space="preserve">may </w:t>
      </w:r>
      <w:r>
        <w:rPr>
          <w:sz w:val="24"/>
          <w:szCs w:val="24"/>
        </w:rPr>
        <w:t xml:space="preserve">avoid the ethical </w:t>
      </w:r>
      <w:r>
        <w:rPr>
          <w:sz w:val="24"/>
          <w:szCs w:val="24"/>
        </w:rPr>
        <w:t xml:space="preserve">considerations around the </w:t>
      </w:r>
      <w:r>
        <w:rPr>
          <w:sz w:val="24"/>
          <w:szCs w:val="24"/>
        </w:rPr>
        <w:t>administrati</w:t>
      </w:r>
      <w:r>
        <w:rPr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of</w:t>
      </w:r>
      <w:r>
        <w:rPr>
          <w:sz w:val="24"/>
          <w:szCs w:val="24"/>
        </w:rPr>
        <w:t xml:space="preserve"> sub-therapeutic doses to CPs, and could potentially help to accelerate the timelines of clinical drug development </w:t>
      </w:r>
      <w:r>
        <w:rPr>
          <w:sz w:val="24"/>
          <w:szCs w:val="24"/>
        </w:rPr>
        <w:t>with same oncology agents. However, t</w:t>
      </w:r>
      <w:r>
        <w:rPr>
          <w:sz w:val="24"/>
          <w:szCs w:val="24"/>
          <w:lang w:val="en-GB"/>
        </w:rPr>
        <w:t>he choice</w:t>
      </w:r>
      <w:r w:rsidR="00924480" w:rsidRPr="00924480">
        <w:rPr>
          <w:sz w:val="24"/>
          <w:szCs w:val="24"/>
          <w:lang w:val="en-GB"/>
        </w:rPr>
        <w:t xml:space="preserve"> </w:t>
      </w:r>
      <w:r w:rsidR="00924480">
        <w:rPr>
          <w:sz w:val="24"/>
          <w:szCs w:val="24"/>
          <w:lang w:val="en-GB"/>
        </w:rPr>
        <w:t>of the population of FIH clinical trials evaluating oncology therapeutics</w:t>
      </w:r>
      <w:r>
        <w:rPr>
          <w:sz w:val="24"/>
          <w:szCs w:val="24"/>
          <w:lang w:val="en-GB"/>
        </w:rPr>
        <w:t xml:space="preserve"> must be </w:t>
      </w:r>
      <w:r w:rsidR="00924480">
        <w:rPr>
          <w:sz w:val="24"/>
          <w:szCs w:val="24"/>
          <w:lang w:val="en-GB"/>
        </w:rPr>
        <w:t xml:space="preserve">properly assessing </w:t>
      </w:r>
      <w:r>
        <w:rPr>
          <w:sz w:val="24"/>
          <w:szCs w:val="24"/>
          <w:lang w:val="en-GB"/>
        </w:rPr>
        <w:t>on a case-by case-basis</w:t>
      </w:r>
      <w:r w:rsidR="00924480">
        <w:rPr>
          <w:sz w:val="24"/>
          <w:szCs w:val="24"/>
          <w:lang w:val="en-GB"/>
        </w:rPr>
        <w:t>,</w:t>
      </w:r>
      <w:r>
        <w:rPr>
          <w:sz w:val="24"/>
          <w:szCs w:val="24"/>
          <w:lang w:val="en-GB"/>
        </w:rPr>
        <w:t xml:space="preserve"> </w:t>
      </w:r>
      <w:r w:rsidR="00924480">
        <w:rPr>
          <w:sz w:val="24"/>
          <w:szCs w:val="24"/>
          <w:lang w:val="en-GB"/>
        </w:rPr>
        <w:t xml:space="preserve">with </w:t>
      </w:r>
      <w:r w:rsidR="00924480">
        <w:rPr>
          <w:sz w:val="24"/>
          <w:szCs w:val="24"/>
        </w:rPr>
        <w:t>fully understand</w:t>
      </w:r>
      <w:r w:rsidR="00924480">
        <w:rPr>
          <w:sz w:val="24"/>
          <w:szCs w:val="24"/>
        </w:rPr>
        <w:t>ing of</w:t>
      </w:r>
      <w:r w:rsidR="00924480">
        <w:rPr>
          <w:sz w:val="24"/>
          <w:szCs w:val="24"/>
        </w:rPr>
        <w:t xml:space="preserve"> the regulatory guidance and thoroughly evaluat</w:t>
      </w:r>
      <w:r w:rsidR="00924480">
        <w:rPr>
          <w:sz w:val="24"/>
          <w:szCs w:val="24"/>
        </w:rPr>
        <w:t>ion of</w:t>
      </w:r>
      <w:r w:rsidR="00924480">
        <w:rPr>
          <w:sz w:val="24"/>
          <w:szCs w:val="24"/>
        </w:rPr>
        <w:t xml:space="preserve"> the benefits and risks</w:t>
      </w:r>
      <w:r w:rsidR="00924480" w:rsidRPr="00924480">
        <w:rPr>
          <w:sz w:val="24"/>
          <w:szCs w:val="24"/>
          <w:lang w:val="en-GB"/>
        </w:rPr>
        <w:t xml:space="preserve"> </w:t>
      </w:r>
      <w:r w:rsidR="00924480">
        <w:rPr>
          <w:sz w:val="24"/>
          <w:szCs w:val="24"/>
          <w:lang w:val="en-GB"/>
        </w:rPr>
        <w:t>in order to select the best scenario to advance the drug development in a responsible and efficient manner</w:t>
      </w:r>
      <w:r w:rsidR="00924480">
        <w:rPr>
          <w:sz w:val="24"/>
          <w:szCs w:val="24"/>
          <w:lang w:val="en-GB"/>
        </w:rPr>
        <w:t>.</w:t>
      </w:r>
    </w:p>
    <w:sectPr w:rsidR="009667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480" w:rsidRDefault="00924480" w:rsidP="00924480">
      <w:pPr>
        <w:spacing w:after="0" w:line="240" w:lineRule="auto"/>
      </w:pPr>
      <w:r>
        <w:separator/>
      </w:r>
    </w:p>
  </w:endnote>
  <w:endnote w:type="continuationSeparator" w:id="0">
    <w:p w:rsidR="00924480" w:rsidRDefault="00924480" w:rsidP="00924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480" w:rsidRDefault="00924480" w:rsidP="00924480">
      <w:pPr>
        <w:spacing w:after="0" w:line="240" w:lineRule="auto"/>
      </w:pPr>
      <w:r>
        <w:separator/>
      </w:r>
    </w:p>
  </w:footnote>
  <w:footnote w:type="continuationSeparator" w:id="0">
    <w:p w:rsidR="00924480" w:rsidRDefault="00924480" w:rsidP="009244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C5D"/>
    <w:rsid w:val="001C2C5D"/>
    <w:rsid w:val="006C0AE9"/>
    <w:rsid w:val="00924480"/>
    <w:rsid w:val="00D4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FC34C9"/>
  <w15:chartTrackingRefBased/>
  <w15:docId w15:val="{BAD7A782-E03E-4E24-8584-E22E5C730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C5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0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LH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Heras, Begona</dc:creator>
  <cp:keywords/>
  <dc:description/>
  <cp:lastModifiedBy>Heras, Begona</cp:lastModifiedBy>
  <cp:revision>1</cp:revision>
  <dcterms:created xsi:type="dcterms:W3CDTF">2021-11-09T04:41:00Z</dcterms:created>
  <dcterms:modified xsi:type="dcterms:W3CDTF">2021-11-09T04:59:00Z</dcterms:modified>
</cp:coreProperties>
</file>