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7586" w:rsidRPr="00257586" w:rsidRDefault="00257586" w:rsidP="00257586">
      <w:pPr>
        <w:spacing w:line="360" w:lineRule="auto"/>
        <w:jc w:val="center"/>
        <w:rPr>
          <w:rFonts w:ascii="Times New Roman" w:hAnsi="Times New Roman" w:cs="Times New Roman"/>
          <w:b/>
          <w:bCs/>
          <w:color w:val="0066FF"/>
          <w:sz w:val="24"/>
          <w:szCs w:val="24"/>
        </w:rPr>
      </w:pPr>
      <w:r w:rsidRPr="00257586">
        <w:rPr>
          <w:rFonts w:ascii="Times New Roman" w:hAnsi="Times New Roman" w:cs="Times New Roman"/>
          <w:b/>
          <w:bCs/>
          <w:color w:val="0066FF"/>
          <w:sz w:val="24"/>
          <w:szCs w:val="24"/>
        </w:rPr>
        <w:t>Physically crosslinked composite hydrogels of gelatin with HAp support osteogenic differentiation of ADMSCs</w:t>
      </w:r>
    </w:p>
    <w:p w:rsidR="00257586" w:rsidRDefault="00257586" w:rsidP="004811AA">
      <w:pPr>
        <w:spacing w:line="360" w:lineRule="auto"/>
        <w:jc w:val="center"/>
        <w:rPr>
          <w:rFonts w:ascii="Times New Roman" w:hAnsi="Times New Roman" w:cs="Times New Roman"/>
        </w:rPr>
      </w:pPr>
      <w:r w:rsidRPr="00257586">
        <w:rPr>
          <w:rFonts w:ascii="Times New Roman" w:hAnsi="Times New Roman" w:cs="Times New Roman"/>
        </w:rPr>
        <w:t xml:space="preserve">Reza Zamani, Mahshad Mohseni, </w:t>
      </w:r>
      <w:r w:rsidR="0081195F" w:rsidRPr="0081195F">
        <w:rPr>
          <w:rFonts w:ascii="Times New Roman" w:hAnsi="Times New Roman" w:cs="Times New Roman"/>
          <w:u w:val="single"/>
        </w:rPr>
        <w:t>Parvin Shokrollahi</w:t>
      </w:r>
      <w:r w:rsidR="0081195F">
        <w:rPr>
          <w:rFonts w:ascii="Times New Roman" w:hAnsi="Times New Roman" w:cs="Times New Roman"/>
        </w:rPr>
        <w:t>*</w:t>
      </w:r>
      <w:r w:rsidR="0081195F" w:rsidRPr="00257586">
        <w:rPr>
          <w:rFonts w:ascii="Times New Roman" w:hAnsi="Times New Roman" w:cs="Times New Roman"/>
        </w:rPr>
        <w:t xml:space="preserve">, </w:t>
      </w:r>
      <w:r w:rsidRPr="00257586">
        <w:rPr>
          <w:rFonts w:ascii="Times New Roman" w:hAnsi="Times New Roman" w:cs="Times New Roman"/>
        </w:rPr>
        <w:t>Jalal Barzin, Fatemeh Shokrolahi</w:t>
      </w:r>
      <w:r>
        <w:rPr>
          <w:rFonts w:ascii="Times New Roman" w:hAnsi="Times New Roman" w:cs="Times New Roman"/>
        </w:rPr>
        <w:t xml:space="preserve">, </w:t>
      </w:r>
    </w:p>
    <w:p w:rsidR="00AE3E37" w:rsidRPr="00257586" w:rsidRDefault="00257586" w:rsidP="00257586">
      <w:pPr>
        <w:spacing w:line="360" w:lineRule="auto"/>
        <w:jc w:val="center"/>
        <w:rPr>
          <w:rFonts w:ascii="Times New Roman" w:hAnsi="Times New Roman" w:cs="Times New Roman"/>
        </w:rPr>
        <w:sectPr w:rsidR="00AE3E37" w:rsidRPr="00257586">
          <w:headerReference w:type="default" r:id="rId7"/>
          <w:footerReference w:type="default" r:id="rId8"/>
          <w:type w:val="continuous"/>
          <w:pgSz w:w="11910" w:h="16840"/>
          <w:pgMar w:top="1740" w:right="600" w:bottom="840" w:left="620" w:header="541" w:footer="642" w:gutter="0"/>
          <w:cols w:space="720"/>
        </w:sectPr>
      </w:pPr>
      <w:r>
        <w:rPr>
          <w:rFonts w:ascii="Times New Roman" w:hAnsi="Times New Roman" w:cs="Times New Roman"/>
        </w:rPr>
        <w:t>IPPI, Iran</w:t>
      </w:r>
    </w:p>
    <w:p w:rsidR="00257586" w:rsidRPr="00257586" w:rsidRDefault="00A9710C" w:rsidP="00257586">
      <w:pPr>
        <w:pStyle w:val="Heading3"/>
        <w:spacing w:before="147"/>
        <w:jc w:val="both"/>
        <w:rPr>
          <w:rFonts w:ascii="Times New Roman" w:hAnsi="Times New Roman" w:cs="Times New Roman"/>
          <w:color w:val="000000" w:themeColor="text1"/>
          <w:sz w:val="18"/>
          <w:szCs w:val="18"/>
        </w:rPr>
      </w:pPr>
      <w:r w:rsidRPr="00257586">
        <w:rPr>
          <w:rFonts w:ascii="Times New Roman" w:hAnsi="Times New Roman" w:cs="Times New Roman"/>
          <w:color w:val="000000" w:themeColor="text1"/>
          <w:sz w:val="18"/>
          <w:szCs w:val="18"/>
        </w:rPr>
        <w:lastRenderedPageBreak/>
        <w:t>Abstract</w:t>
      </w:r>
      <w:r w:rsidR="00404E5B" w:rsidRPr="00257586">
        <w:rPr>
          <w:rFonts w:ascii="Times New Roman" w:hAnsi="Times New Roman" w:cs="Times New Roman"/>
          <w:color w:val="000000" w:themeColor="text1"/>
          <w:sz w:val="18"/>
          <w:szCs w:val="18"/>
        </w:rPr>
        <w:t xml:space="preserve"> </w:t>
      </w:r>
    </w:p>
    <w:p w:rsidR="00257586" w:rsidRPr="00257586" w:rsidRDefault="00257586" w:rsidP="00257586">
      <w:pPr>
        <w:pStyle w:val="Heading3"/>
        <w:spacing w:before="147"/>
        <w:jc w:val="both"/>
        <w:rPr>
          <w:rFonts w:ascii="Times New Roman" w:hAnsi="Times New Roman" w:cs="Times New Roman"/>
          <w:b w:val="0"/>
          <w:bCs w:val="0"/>
          <w:color w:val="000000" w:themeColor="text1"/>
          <w:sz w:val="18"/>
          <w:szCs w:val="18"/>
        </w:rPr>
      </w:pPr>
      <w:r w:rsidRPr="00257586">
        <w:rPr>
          <w:rFonts w:ascii="Times New Roman" w:hAnsi="Times New Roman" w:cs="Times New Roman"/>
          <w:b w:val="0"/>
          <w:bCs w:val="0"/>
          <w:color w:val="000000" w:themeColor="text1"/>
          <w:sz w:val="18"/>
          <w:szCs w:val="18"/>
        </w:rPr>
        <w:t xml:space="preserve">A science based approach is taken to monitor the variation of properties, bioactivity and hydrogel formationof gelatin upon functionalization with Ureido Pyrimidinone hexyl isocyanate (UPy synthon), which results in reversible physical network formation. Hydrophilicity and swelling of gelatin were affected consequently. According to rheological measurements GelUPy forms a physical network of higher stability than gelatin and a remarkable increase in elastic to viscous transition temperature. </w:t>
      </w:r>
    </w:p>
    <w:p w:rsidR="00257586" w:rsidRPr="00257586" w:rsidRDefault="00257586" w:rsidP="00257586">
      <w:pPr>
        <w:pStyle w:val="Heading3"/>
        <w:spacing w:before="147"/>
        <w:jc w:val="both"/>
        <w:rPr>
          <w:rFonts w:ascii="Times New Roman" w:hAnsi="Times New Roman" w:cs="Times New Roman"/>
          <w:b w:val="0"/>
          <w:bCs w:val="0"/>
          <w:color w:val="000000" w:themeColor="text1"/>
          <w:sz w:val="18"/>
          <w:szCs w:val="18"/>
        </w:rPr>
      </w:pPr>
      <w:r w:rsidRPr="00257586">
        <w:rPr>
          <w:rFonts w:ascii="Times New Roman" w:hAnsi="Times New Roman" w:cs="Times New Roman"/>
          <w:b w:val="0"/>
          <w:bCs w:val="0"/>
          <w:color w:val="000000" w:themeColor="text1"/>
          <w:sz w:val="18"/>
          <w:szCs w:val="18"/>
        </w:rPr>
        <w:t xml:space="preserve">GelUPy showed a clear temperature/water triggered shape memory behavior while retaining the temporary shape in the absence of these stimuli. GelUPy possesses better mechanical properties than gelatin in a wet state. Biocompatibility evaluation revealed that viability of L929 fibroblasts remained intact on GelUPy. GelUPy, a biodegradable shape memory hydrogel, was successfully used as a controlled drug delivery matrix. </w:t>
      </w:r>
    </w:p>
    <w:p w:rsidR="00257586" w:rsidRPr="00257586" w:rsidRDefault="00257586" w:rsidP="00257586">
      <w:pPr>
        <w:pStyle w:val="Heading3"/>
        <w:spacing w:before="147"/>
        <w:jc w:val="both"/>
        <w:rPr>
          <w:rFonts w:ascii="Times New Roman" w:hAnsi="Times New Roman" w:cs="Times New Roman"/>
          <w:b w:val="0"/>
          <w:bCs w:val="0"/>
          <w:color w:val="000000" w:themeColor="text1"/>
          <w:sz w:val="18"/>
          <w:szCs w:val="18"/>
        </w:rPr>
      </w:pPr>
      <w:r w:rsidRPr="00257586">
        <w:rPr>
          <w:rFonts w:ascii="Times New Roman" w:hAnsi="Times New Roman" w:cs="Times New Roman"/>
          <w:b w:val="0"/>
          <w:bCs w:val="0"/>
          <w:color w:val="000000" w:themeColor="text1"/>
          <w:sz w:val="18"/>
          <w:szCs w:val="18"/>
        </w:rPr>
        <w:t>To discover suitability of GelUPy as bone tissue engineering scaffold, next, hydroxyapatite was first doped with Zn and then functionalized with UPy groups and its composite was prepared with GelUPy. The nano-composite was then loaded with Dexamethasone and the resulting drug loaded hydrogel was subjected to materials properties, drug release and osteogenic differentiation studies. Our results showed that GelUPy could support sustained release of the drug for 12 days. The drug loaded supramolecular GelUPy composite could induce osteogenic differentiation of adipose derived mesenchymal stem cells (ADMSCs) as shown by alizarin red staining, and ALP activity and calcium deposition measurements.</w:t>
      </w:r>
    </w:p>
    <w:p w:rsidR="000539D1" w:rsidRPr="00257586" w:rsidRDefault="00257586" w:rsidP="000539D1">
      <w:pPr>
        <w:pStyle w:val="Heading3"/>
        <w:spacing w:before="147"/>
        <w:jc w:val="both"/>
        <w:rPr>
          <w:rFonts w:ascii="Times New Roman" w:hAnsi="Times New Roman" w:cs="Times New Roman"/>
          <w:b w:val="0"/>
          <w:bCs w:val="0"/>
          <w:color w:val="000000" w:themeColor="text1"/>
          <w:sz w:val="18"/>
          <w:szCs w:val="18"/>
        </w:rPr>
      </w:pPr>
      <w:r w:rsidRPr="00257586">
        <w:rPr>
          <w:rFonts w:ascii="Times New Roman" w:hAnsi="Times New Roman" w:cs="Times New Roman"/>
          <w:b w:val="0"/>
          <w:bCs w:val="0"/>
          <w:color w:val="000000" w:themeColor="text1"/>
          <w:sz w:val="18"/>
          <w:szCs w:val="18"/>
        </w:rPr>
        <w:t>The Physically crosslinked composite hydrogels of gelatin with HAp when loaded with dexamethasone, show great potential as tissue engineering hydrogels.</w:t>
      </w:r>
    </w:p>
    <w:p w:rsidR="00AE3E37" w:rsidRPr="00401713" w:rsidRDefault="000539D1" w:rsidP="000539D1">
      <w:pPr>
        <w:pStyle w:val="Heading3"/>
        <w:spacing w:before="147"/>
        <w:ind w:left="0"/>
        <w:jc w:val="center"/>
        <w:rPr>
          <w:rFonts w:ascii="Times New Roman" w:hAnsi="Times New Roman" w:cs="Times New Roman"/>
          <w:sz w:val="18"/>
          <w:szCs w:val="18"/>
        </w:rPr>
      </w:pPr>
      <w:r w:rsidRPr="000539D1">
        <w:rPr>
          <w:b w:val="0"/>
          <w:sz w:val="18"/>
          <w:szCs w:val="18"/>
        </w:rPr>
        <w:drawing>
          <wp:inline distT="0" distB="0" distL="0" distR="0">
            <wp:extent cx="3165475" cy="1069024"/>
            <wp:effectExtent l="19050" t="0" r="0" b="0"/>
            <wp:docPr id="8"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400026" cy="2499466"/>
                      <a:chOff x="457200" y="270296"/>
                      <a:chExt cx="7400026" cy="2499466"/>
                    </a:xfrm>
                  </a:grpSpPr>
                  <a:grpSp>
                    <a:nvGrpSpPr>
                      <a:cNvPr id="15" name="Group 14"/>
                      <a:cNvGrpSpPr/>
                    </a:nvGrpSpPr>
                    <a:grpSpPr>
                      <a:xfrm>
                        <a:off x="457200" y="270296"/>
                        <a:ext cx="7400026" cy="2499466"/>
                        <a:chOff x="457200" y="270296"/>
                        <a:chExt cx="7400026" cy="2499466"/>
                      </a:xfrm>
                    </a:grpSpPr>
                    <a:grpSp>
                      <a:nvGrpSpPr>
                        <a:cNvPr id="3" name="Group 5"/>
                        <a:cNvGrpSpPr/>
                      </a:nvGrpSpPr>
                      <a:grpSpPr>
                        <a:xfrm>
                          <a:off x="457200" y="270296"/>
                          <a:ext cx="2476500" cy="2244304"/>
                          <a:chOff x="457200" y="270296"/>
                          <a:chExt cx="2476500" cy="2244304"/>
                        </a:xfrm>
                      </a:grpSpPr>
                      <a:pic>
                        <a:nvPicPr>
                          <a:cNvPr id="1026" name="Picture 2"/>
                          <a:cNvPicPr>
                            <a:picLocks noChangeAspect="1" noChangeArrowheads="1"/>
                          </a:cNvPicPr>
                        </a:nvPicPr>
                        <a:blipFill>
                          <a:blip r:embed="rId9"/>
                          <a:srcRect/>
                          <a:stretch>
                            <a:fillRect/>
                          </a:stretch>
                        </a:blipFill>
                        <a:spPr bwMode="auto">
                          <a:xfrm>
                            <a:off x="457200" y="533400"/>
                            <a:ext cx="2476500" cy="1981200"/>
                          </a:xfrm>
                          <a:prstGeom prst="rect">
                            <a:avLst/>
                          </a:prstGeom>
                          <a:noFill/>
                          <a:ln w="9525">
                            <a:noFill/>
                            <a:miter lim="800000"/>
                            <a:headEnd/>
                            <a:tailEnd/>
                          </a:ln>
                          <a:effectLst/>
                        </a:spPr>
                      </a:pic>
                      <a:sp>
                        <a:nvSpPr>
                          <a:cNvPr id="5" name="TextBox 4"/>
                          <a:cNvSpPr txBox="1"/>
                        </a:nvSpPr>
                        <a:spPr>
                          <a:xfrm>
                            <a:off x="457200" y="270296"/>
                            <a:ext cx="865430" cy="338554"/>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600" b="1" dirty="0" smtClean="0">
                                  <a:solidFill>
                                    <a:srgbClr val="C00000"/>
                                  </a:solidFill>
                                  <a:latin typeface="Times New Roman" pitchFamily="18" charset="0"/>
                                  <a:cs typeface="Times New Roman" pitchFamily="18" charset="0"/>
                                </a:rPr>
                                <a:t>Control</a:t>
                              </a:r>
                              <a:endParaRPr lang="en-US" sz="1600" b="1" dirty="0">
                                <a:solidFill>
                                  <a:srgbClr val="C00000"/>
                                </a:solidFill>
                                <a:latin typeface="Times New Roman" pitchFamily="18" charset="0"/>
                                <a:cs typeface="Times New Roman" pitchFamily="18" charset="0"/>
                              </a:endParaRPr>
                            </a:p>
                          </a:txBody>
                          <a:useSpRect/>
                        </a:txSp>
                      </a:sp>
                    </a:grpSp>
                    <a:pic>
                      <a:nvPicPr>
                        <a:cNvPr id="1028" name="Picture 4"/>
                        <a:cNvPicPr>
                          <a:picLocks noChangeAspect="1" noChangeArrowheads="1"/>
                        </a:cNvPicPr>
                      </a:nvPicPr>
                      <a:blipFill>
                        <a:blip r:embed="rId10"/>
                        <a:srcRect/>
                        <a:stretch>
                          <a:fillRect/>
                        </a:stretch>
                      </a:blipFill>
                      <a:spPr bwMode="auto">
                        <a:xfrm>
                          <a:off x="2954548" y="533400"/>
                          <a:ext cx="2438400" cy="1981200"/>
                        </a:xfrm>
                        <a:prstGeom prst="rect">
                          <a:avLst/>
                        </a:prstGeom>
                        <a:noFill/>
                        <a:ln w="9525">
                          <a:noFill/>
                          <a:miter lim="800000"/>
                          <a:headEnd/>
                          <a:tailEnd/>
                        </a:ln>
                        <a:effectLst/>
                      </a:spPr>
                    </a:pic>
                    <a:sp>
                      <a:nvSpPr>
                        <a:cNvPr id="11" name="TextBox 10"/>
                        <a:cNvSpPr txBox="1"/>
                      </a:nvSpPr>
                      <a:spPr>
                        <a:xfrm>
                          <a:off x="1932312" y="2431208"/>
                          <a:ext cx="1997150" cy="338554"/>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600" b="1" dirty="0" smtClean="0">
                                <a:solidFill>
                                  <a:srgbClr val="006600"/>
                                </a:solidFill>
                                <a:latin typeface="Times New Roman" pitchFamily="18" charset="0"/>
                                <a:cs typeface="Times New Roman" pitchFamily="18" charset="0"/>
                              </a:rPr>
                              <a:t>Alizarin red staining</a:t>
                            </a:r>
                            <a:endParaRPr lang="en-US" sz="1600" b="1" dirty="0">
                              <a:solidFill>
                                <a:srgbClr val="006600"/>
                              </a:solidFill>
                              <a:latin typeface="Times New Roman" pitchFamily="18" charset="0"/>
                              <a:cs typeface="Times New Roman" pitchFamily="18" charset="0"/>
                            </a:endParaRPr>
                          </a:p>
                        </a:txBody>
                        <a:useSpRect/>
                      </a:txSp>
                    </a:sp>
                    <a:sp>
                      <a:nvSpPr>
                        <a:cNvPr id="12" name="TextBox 11"/>
                        <a:cNvSpPr txBox="1"/>
                      </a:nvSpPr>
                      <a:spPr>
                        <a:xfrm>
                          <a:off x="5960852" y="2419714"/>
                          <a:ext cx="1372492" cy="338554"/>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b="1" dirty="0" smtClean="0">
                                <a:solidFill>
                                  <a:srgbClr val="006600"/>
                                </a:solidFill>
                                <a:latin typeface="Times New Roman" pitchFamily="18" charset="0"/>
                                <a:cs typeface="Times New Roman" pitchFamily="18" charset="0"/>
                              </a:rPr>
                              <a:t>DAPI</a:t>
                            </a:r>
                            <a:r>
                              <a:rPr lang="en-US" sz="1600" b="1" dirty="0" smtClean="0">
                                <a:solidFill>
                                  <a:srgbClr val="006600"/>
                                </a:solidFill>
                                <a:latin typeface="Times New Roman" pitchFamily="18" charset="0"/>
                                <a:cs typeface="Times New Roman" pitchFamily="18" charset="0"/>
                              </a:rPr>
                              <a:t> staining</a:t>
                            </a:r>
                            <a:endParaRPr lang="en-US" sz="1600" b="1" dirty="0">
                              <a:solidFill>
                                <a:srgbClr val="006600"/>
                              </a:solidFill>
                              <a:latin typeface="Times New Roman" pitchFamily="18" charset="0"/>
                              <a:cs typeface="Times New Roman" pitchFamily="18" charset="0"/>
                            </a:endParaRPr>
                          </a:p>
                        </a:txBody>
                        <a:useSpRect/>
                      </a:txSp>
                    </a:sp>
                    <a:pic>
                      <a:nvPicPr>
                        <a:cNvPr id="1030" name="Picture 6"/>
                        <a:cNvPicPr>
                          <a:picLocks noChangeAspect="1" noChangeArrowheads="1"/>
                        </a:cNvPicPr>
                      </a:nvPicPr>
                      <a:blipFill>
                        <a:blip r:embed="rId11"/>
                        <a:srcRect/>
                        <a:stretch>
                          <a:fillRect/>
                        </a:stretch>
                      </a:blipFill>
                      <a:spPr bwMode="auto">
                        <a:xfrm>
                          <a:off x="5418826" y="533400"/>
                          <a:ext cx="2438400" cy="1981200"/>
                        </a:xfrm>
                        <a:prstGeom prst="rect">
                          <a:avLst/>
                        </a:prstGeom>
                        <a:noFill/>
                        <a:ln w="9525">
                          <a:noFill/>
                          <a:miter lim="800000"/>
                          <a:headEnd/>
                          <a:tailEnd/>
                        </a:ln>
                        <a:effectLst/>
                      </a:spPr>
                    </a:pic>
                  </a:grpSp>
                </lc:lockedCanvas>
              </a:graphicData>
            </a:graphic>
          </wp:inline>
        </w:drawing>
      </w:r>
      <w:r w:rsidR="00A9710C" w:rsidRPr="00401713">
        <w:rPr>
          <w:b w:val="0"/>
          <w:sz w:val="18"/>
          <w:szCs w:val="18"/>
        </w:rPr>
        <w:br w:type="column"/>
      </w:r>
      <w:r w:rsidRPr="000539D1">
        <w:rPr>
          <w:b w:val="0"/>
          <w:sz w:val="18"/>
          <w:szCs w:val="18"/>
        </w:rPr>
        <w:lastRenderedPageBreak/>
        <w:drawing>
          <wp:inline distT="0" distB="0" distL="0" distR="0">
            <wp:extent cx="2881305" cy="1847850"/>
            <wp:effectExtent l="19050" t="0" r="0" b="0"/>
            <wp:docPr id="7" name="Picture 1" descr="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tif"/>
                    <pic:cNvPicPr/>
                  </pic:nvPicPr>
                  <pic:blipFill>
                    <a:blip r:embed="rId12"/>
                    <a:stretch>
                      <a:fillRect/>
                    </a:stretch>
                  </pic:blipFill>
                  <pic:spPr>
                    <a:xfrm>
                      <a:off x="0" y="0"/>
                      <a:ext cx="2884820" cy="1850104"/>
                    </a:xfrm>
                    <a:prstGeom prst="rect">
                      <a:avLst/>
                    </a:prstGeom>
                  </pic:spPr>
                </pic:pic>
              </a:graphicData>
            </a:graphic>
          </wp:inline>
        </w:drawing>
      </w:r>
    </w:p>
    <w:p w:rsidR="00AE3E37" w:rsidRPr="00401713" w:rsidRDefault="00AE3E37" w:rsidP="00257586">
      <w:pPr>
        <w:pStyle w:val="BodyText"/>
        <w:spacing w:before="2"/>
        <w:jc w:val="center"/>
        <w:rPr>
          <w:rFonts w:ascii="Arial"/>
          <w:b/>
        </w:rPr>
      </w:pPr>
    </w:p>
    <w:p w:rsidR="005973B9" w:rsidRPr="00401713" w:rsidRDefault="005973B9" w:rsidP="0095360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 xml:space="preserve">Recent Publications </w:t>
      </w:r>
    </w:p>
    <w:p w:rsidR="00953603" w:rsidRPr="00953603" w:rsidRDefault="00953603" w:rsidP="0095360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Pr>
          <w:rFonts w:ascii="Times New Roman" w:hAnsi="Times New Roman" w:cs="Times New Roman"/>
          <w:sz w:val="18"/>
          <w:szCs w:val="18"/>
        </w:rPr>
        <w:t>Zamani AR, et al., (2017</w:t>
      </w:r>
      <w:r w:rsidR="005973B9" w:rsidRPr="00401713">
        <w:rPr>
          <w:rFonts w:ascii="Times New Roman" w:hAnsi="Times New Roman" w:cs="Times New Roman"/>
          <w:sz w:val="18"/>
          <w:szCs w:val="18"/>
        </w:rPr>
        <w:t xml:space="preserve">) </w:t>
      </w:r>
      <w:r w:rsidRPr="00953603">
        <w:rPr>
          <w:rFonts w:ascii="Times New Roman" w:hAnsi="Times New Roman" w:cs="Times New Roman"/>
          <w:sz w:val="18"/>
          <w:szCs w:val="18"/>
        </w:rPr>
        <w:t>A thermally and water activated shape memory gelatin physical hydrogel, with a gel point above the physiological temperature, for biomedical applications</w:t>
      </w:r>
      <w:r>
        <w:rPr>
          <w:rFonts w:ascii="Times New Roman" w:hAnsi="Times New Roman" w:cs="Times New Roman"/>
          <w:sz w:val="18"/>
          <w:szCs w:val="18"/>
        </w:rPr>
        <w:t xml:space="preserve">, J Mater Chem B, </w:t>
      </w:r>
      <w:r w:rsidRPr="00953603">
        <w:rPr>
          <w:rFonts w:ascii="Times New Roman" w:hAnsi="Times New Roman" w:cs="Times New Roman"/>
          <w:sz w:val="18"/>
          <w:szCs w:val="18"/>
        </w:rPr>
        <w:t>5, 2302</w:t>
      </w:r>
      <w:r>
        <w:rPr>
          <w:rFonts w:ascii="Times New Roman" w:hAnsi="Times New Roman" w:cs="Times New Roman"/>
          <w:sz w:val="18"/>
          <w:szCs w:val="18"/>
        </w:rPr>
        <w:t>.</w:t>
      </w:r>
    </w:p>
    <w:p w:rsidR="005973B9" w:rsidRPr="00953603" w:rsidRDefault="00953603" w:rsidP="00953603">
      <w:pPr>
        <w:pStyle w:val="ListParagraph"/>
        <w:widowControl/>
        <w:numPr>
          <w:ilvl w:val="0"/>
          <w:numId w:val="3"/>
        </w:numPr>
        <w:autoSpaceDE w:val="0"/>
        <w:autoSpaceDN w:val="0"/>
        <w:adjustRightInd w:val="0"/>
        <w:spacing w:before="103" w:line="216" w:lineRule="exact"/>
        <w:ind w:right="138" w:hanging="283"/>
        <w:rPr>
          <w:rFonts w:ascii="Times New Roman" w:hAnsi="Times New Roman" w:cs="Times New Roman"/>
          <w:sz w:val="18"/>
          <w:szCs w:val="18"/>
        </w:rPr>
      </w:pPr>
      <w:r w:rsidRPr="00953603">
        <w:rPr>
          <w:rFonts w:ascii="Times New Roman" w:hAnsi="Times New Roman" w:cs="Times New Roman"/>
          <w:sz w:val="18"/>
          <w:szCs w:val="18"/>
        </w:rPr>
        <w:t>Maleki ES, et al., (2017) Impact of supramolecular interactions on swelling and release behavior of UPy functionalized HEMA‐based hydrogels, Polym Adv Technol, 2018, 1-14.</w:t>
      </w:r>
    </w:p>
    <w:p w:rsidR="00953603" w:rsidRPr="00953603" w:rsidRDefault="00953603" w:rsidP="008B02C5">
      <w:pPr>
        <w:pStyle w:val="ListParagraph"/>
        <w:numPr>
          <w:ilvl w:val="0"/>
          <w:numId w:val="3"/>
        </w:numPr>
        <w:tabs>
          <w:tab w:val="left" w:pos="384"/>
        </w:tabs>
        <w:spacing w:line="216" w:lineRule="exact"/>
        <w:ind w:right="137" w:hanging="283"/>
        <w:rPr>
          <w:rFonts w:ascii="Times New Roman" w:hAnsi="Times New Roman" w:cs="Times New Roman"/>
          <w:sz w:val="18"/>
          <w:szCs w:val="18"/>
        </w:rPr>
      </w:pPr>
      <w:r w:rsidRPr="00953603">
        <w:rPr>
          <w:rFonts w:ascii="Times New Roman" w:hAnsi="Times New Roman" w:cs="Times New Roman"/>
          <w:sz w:val="18"/>
          <w:szCs w:val="18"/>
        </w:rPr>
        <w:t xml:space="preserve">Keivani et al., </w:t>
      </w:r>
      <w:r w:rsidR="008B02C5">
        <w:rPr>
          <w:rFonts w:ascii="Times New Roman" w:hAnsi="Times New Roman" w:cs="Times New Roman"/>
          <w:sz w:val="18"/>
          <w:szCs w:val="18"/>
        </w:rPr>
        <w:t>(</w:t>
      </w:r>
      <w:r w:rsidRPr="00953603">
        <w:rPr>
          <w:rFonts w:ascii="Times New Roman" w:hAnsi="Times New Roman" w:cs="Times New Roman"/>
          <w:sz w:val="18"/>
          <w:szCs w:val="18"/>
        </w:rPr>
        <w:t>2016</w:t>
      </w:r>
      <w:r w:rsidR="008B02C5">
        <w:rPr>
          <w:rFonts w:ascii="Times New Roman" w:hAnsi="Times New Roman" w:cs="Times New Roman"/>
          <w:sz w:val="18"/>
          <w:szCs w:val="18"/>
        </w:rPr>
        <w:t>)</w:t>
      </w:r>
      <w:r w:rsidRPr="00953603">
        <w:rPr>
          <w:rFonts w:ascii="Times New Roman" w:hAnsi="Times New Roman" w:cs="Times New Roman"/>
          <w:sz w:val="18"/>
          <w:szCs w:val="18"/>
        </w:rPr>
        <w:t xml:space="preserve"> Engineered electrospun poly(caprolactone) /polycaprolactone-g-hydroxyapatite nano-fibrous scaffold promotes human fibroblasts adhesion and proliferation, Mater Sci Eng 68, 78–88.</w:t>
      </w:r>
    </w:p>
    <w:p w:rsidR="00AE3E37" w:rsidRPr="00401713" w:rsidRDefault="008B02C5" w:rsidP="008B02C5">
      <w:pPr>
        <w:pStyle w:val="ListParagraph"/>
        <w:numPr>
          <w:ilvl w:val="0"/>
          <w:numId w:val="3"/>
        </w:numPr>
        <w:tabs>
          <w:tab w:val="left" w:pos="384"/>
        </w:tabs>
        <w:spacing w:line="216" w:lineRule="exact"/>
        <w:ind w:right="137" w:hanging="283"/>
        <w:rPr>
          <w:sz w:val="18"/>
          <w:szCs w:val="18"/>
        </w:rPr>
      </w:pPr>
      <w:r w:rsidRPr="008B02C5">
        <w:rPr>
          <w:rFonts w:ascii="Times New Roman" w:hAnsi="Times New Roman" w:cs="Times New Roman"/>
          <w:sz w:val="18"/>
          <w:szCs w:val="18"/>
        </w:rPr>
        <w:t>Ghorbani</w:t>
      </w:r>
      <w:r>
        <w:rPr>
          <w:rFonts w:ascii="Times New Roman" w:hAnsi="Times New Roman" w:cs="Times New Roman"/>
          <w:sz w:val="18"/>
          <w:szCs w:val="18"/>
        </w:rPr>
        <w:t xml:space="preserve"> MF, et al. (2015) </w:t>
      </w:r>
      <w:r w:rsidRPr="008B02C5">
        <w:rPr>
          <w:rFonts w:ascii="Times New Roman" w:hAnsi="Times New Roman" w:cs="Times New Roman"/>
          <w:sz w:val="18"/>
          <w:szCs w:val="18"/>
        </w:rPr>
        <w:t>PCL/chitosan/Zn-doped nHA electrospun nanocomposite scaffoldpromotes adipose derived stem cells adhesion and proliferation</w:t>
      </w:r>
      <w:r>
        <w:rPr>
          <w:rFonts w:ascii="Times New Roman" w:hAnsi="Times New Roman" w:cs="Times New Roman"/>
          <w:sz w:val="18"/>
          <w:szCs w:val="18"/>
        </w:rPr>
        <w:t xml:space="preserve">, </w:t>
      </w:r>
      <w:r w:rsidRPr="008B02C5">
        <w:rPr>
          <w:rFonts w:ascii="Times New Roman" w:hAnsi="Times New Roman" w:cs="Times New Roman"/>
          <w:sz w:val="18"/>
          <w:szCs w:val="18"/>
        </w:rPr>
        <w:t>Carbohydrate Polymers 118 (2015) 133–142</w:t>
      </w:r>
      <w:r>
        <w:rPr>
          <w:rFonts w:ascii="Times New Roman" w:hAnsi="Times New Roman" w:cs="Times New Roman"/>
          <w:sz w:val="18"/>
          <w:szCs w:val="18"/>
        </w:rPr>
        <w:t>.</w:t>
      </w:r>
      <w:r w:rsidRPr="008B02C5">
        <w:rPr>
          <w:rFonts w:ascii="Times New Roman" w:hAnsi="Times New Roman" w:cs="Times New Roman"/>
          <w:sz w:val="18"/>
          <w:szCs w:val="18"/>
        </w:rPr>
        <w:t xml:space="preserve"> </w:t>
      </w:r>
    </w:p>
    <w:p w:rsidR="00AE3E37" w:rsidRPr="00401713" w:rsidRDefault="00AE3E37">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C46853">
      <w:pPr>
        <w:pStyle w:val="BodyText"/>
        <w:spacing w:line="40" w:lineRule="exact"/>
        <w:ind w:left="2202"/>
        <w:rPr>
          <w:rFonts w:ascii="Calibri"/>
          <w:sz w:val="4"/>
        </w:rPr>
      </w:pPr>
      <w:r w:rsidRPr="00C46853">
        <w:rPr>
          <w:rFonts w:ascii="Calibri"/>
          <w:noProof/>
          <w:sz w:val="4"/>
          <w:lang w:val="en-IN" w:eastAsia="en-IN"/>
        </w:rPr>
      </w:r>
      <w:r w:rsidRPr="00C46853">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401713" w:rsidRDefault="00AE3E37" w:rsidP="008B02C5">
      <w:pPr>
        <w:spacing w:before="92"/>
        <w:ind w:right="4234"/>
        <w:rPr>
          <w:rFonts w:ascii="Times New Roman" w:hAnsi="Times New Roman" w:cs="Times New Roman"/>
          <w:sz w:val="20"/>
          <w:szCs w:val="20"/>
        </w:rPr>
      </w:pPr>
    </w:p>
    <w:p w:rsidR="00AE3E37" w:rsidRPr="00401713" w:rsidRDefault="008B02C5" w:rsidP="008B02C5">
      <w:pPr>
        <w:spacing w:before="41"/>
        <w:ind w:right="231"/>
        <w:jc w:val="both"/>
        <w:rPr>
          <w:rFonts w:ascii="Times New Roman" w:hAnsi="Times New Roman" w:cs="Times New Roman"/>
          <w:sz w:val="20"/>
          <w:szCs w:val="20"/>
        </w:rPr>
      </w:pPr>
      <w:r>
        <w:rPr>
          <w:rFonts w:ascii="Times New Roman" w:hAnsi="Times New Roman" w:cs="Times New Roman"/>
          <w:sz w:val="20"/>
          <w:szCs w:val="20"/>
        </w:rPr>
        <w:t>Parvin Shokrollahi</w:t>
      </w:r>
      <w:r w:rsidR="00A9710C" w:rsidRPr="00401713">
        <w:rPr>
          <w:rFonts w:ascii="Times New Roman" w:hAnsi="Times New Roman" w:cs="Times New Roman"/>
          <w:sz w:val="20"/>
          <w:szCs w:val="20"/>
        </w:rPr>
        <w:t xml:space="preserve"> has her expertise in </w:t>
      </w:r>
      <w:r>
        <w:rPr>
          <w:rFonts w:ascii="Times New Roman" w:hAnsi="Times New Roman" w:cs="Times New Roman"/>
          <w:sz w:val="20"/>
          <w:szCs w:val="20"/>
        </w:rPr>
        <w:t>material science, supramolecular polymers and tissue engineering</w:t>
      </w:r>
      <w:r w:rsidR="00A9710C" w:rsidRPr="00401713">
        <w:rPr>
          <w:rFonts w:ascii="Times New Roman" w:hAnsi="Times New Roman" w:cs="Times New Roman"/>
          <w:sz w:val="20"/>
          <w:szCs w:val="20"/>
        </w:rPr>
        <w:t xml:space="preserve">. </w:t>
      </w:r>
    </w:p>
    <w:p w:rsidR="00AE3E37" w:rsidRPr="00401713" w:rsidRDefault="00401713" w:rsidP="008B02C5">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hyperlink r:id="rId13" w:history="1">
        <w:r w:rsidR="008B02C5" w:rsidRPr="00D65D50">
          <w:rPr>
            <w:rStyle w:val="Hyperlink"/>
            <w:rFonts w:ascii="Times New Roman" w:hAnsi="Times New Roman" w:cs="Times New Roman"/>
            <w:sz w:val="20"/>
            <w:szCs w:val="20"/>
          </w:rPr>
          <w:t>p.shokrolahi@ippi.ac.ir</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ame:</w:t>
      </w:r>
      <w:r w:rsidR="008B02C5">
        <w:rPr>
          <w:rFonts w:ascii="Times New Roman" w:hAnsi="Times New Roman" w:cs="Times New Roman"/>
          <w:sz w:val="20"/>
          <w:szCs w:val="20"/>
        </w:rPr>
        <w:t xml:space="preserve"> Parvin</w:t>
      </w:r>
      <w:r w:rsidR="00401713" w:rsidRPr="00EB5503">
        <w:rPr>
          <w:rFonts w:ascii="Times New Roman" w:hAnsi="Times New Roman" w:cs="Times New Roman"/>
          <w:sz w:val="20"/>
          <w:szCs w:val="20"/>
        </w:rPr>
        <w:t xml:space="preserv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8B02C5">
        <w:rPr>
          <w:rFonts w:ascii="Times New Roman" w:hAnsi="Times New Roman" w:cs="Times New Roman"/>
          <w:sz w:val="20"/>
          <w:szCs w:val="20"/>
        </w:rPr>
        <w:t>Shokrollahi</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8B02C5">
        <w:rPr>
          <w:rFonts w:ascii="Times New Roman" w:hAnsi="Times New Roman" w:cs="Times New Roman"/>
          <w:sz w:val="20"/>
          <w:szCs w:val="20"/>
        </w:rPr>
        <w:t>0098 912 5348610</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w:t>
      </w:r>
      <w:bookmarkStart w:id="0" w:name="_GoBack"/>
      <w:bookmarkEnd w:id="0"/>
      <w:r w:rsidRPr="00EB5503">
        <w:rPr>
          <w:rFonts w:ascii="Times New Roman" w:hAnsi="Times New Roman" w:cs="Times New Roman"/>
          <w:sz w:val="20"/>
          <w:szCs w:val="20"/>
        </w:rPr>
        <w:t>d In:</w:t>
      </w:r>
      <w:r w:rsidR="008B02C5" w:rsidRPr="008B02C5">
        <w:t xml:space="preserve"> </w:t>
      </w:r>
      <w:r w:rsidR="008B02C5" w:rsidRPr="008B02C5">
        <w:rPr>
          <w:rFonts w:ascii="Times New Roman" w:hAnsi="Times New Roman" w:cs="Times New Roman"/>
          <w:sz w:val="20"/>
          <w:szCs w:val="20"/>
        </w:rPr>
        <w:t>https://www.linkedin.com/feed/?trk=</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r w:rsidR="008B02C5">
        <w:rPr>
          <w:rFonts w:ascii="Times New Roman" w:hAnsi="Times New Roman" w:cs="Times New Roman"/>
          <w:sz w:val="20"/>
          <w:szCs w:val="20"/>
        </w:rPr>
        <w:t>--</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1903CC">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w:t>
      </w:r>
      <w:r w:rsidRPr="008B02C5">
        <w:rPr>
          <w:rFonts w:ascii="Times New Roman" w:hAnsi="Times New Roman" w:cs="Times New Roman"/>
          <w:sz w:val="20"/>
          <w:szCs w:val="20"/>
          <w:highlight w:val="yellow"/>
        </w:rPr>
        <w:t>Oral presentation</w:t>
      </w:r>
      <w:r w:rsidRPr="00EB5503">
        <w:rPr>
          <w:rFonts w:ascii="Times New Roman" w:hAnsi="Times New Roman" w:cs="Times New Roman"/>
          <w:sz w:val="20"/>
          <w:szCs w:val="20"/>
        </w:rPr>
        <w:t>/ Poster)</w:t>
      </w:r>
    </w:p>
    <w:p w:rsidR="00401713" w:rsidRPr="00EB5503" w:rsidRDefault="00401713" w:rsidP="001903CC">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8B02C5">
        <w:rPr>
          <w:rFonts w:ascii="Times New Roman" w:hAnsi="Times New Roman" w:cs="Times New Roman"/>
          <w:sz w:val="20"/>
          <w:szCs w:val="20"/>
        </w:rPr>
        <w:t xml:space="preserve"> </w:t>
      </w:r>
      <w:r w:rsidR="001903CC" w:rsidRPr="00EB5503">
        <w:rPr>
          <w:rFonts w:ascii="Times New Roman" w:hAnsi="Times New Roman" w:cs="Times New Roman"/>
          <w:sz w:val="20"/>
          <w:szCs w:val="20"/>
        </w:rPr>
        <w:t>presentation</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Postal Address:</w:t>
      </w:r>
      <w:r w:rsidR="008B02C5">
        <w:rPr>
          <w:rFonts w:ascii="Times New Roman" w:hAnsi="Times New Roman" w:cs="Times New Roman"/>
          <w:sz w:val="20"/>
          <w:szCs w:val="20"/>
        </w:rPr>
        <w:t xml:space="preserve"> </w:t>
      </w:r>
      <w:r w:rsidRPr="00401713">
        <w:rPr>
          <w:rFonts w:ascii="Times New Roman" w:hAnsi="Times New Roman" w:cs="Times New Roman"/>
          <w:sz w:val="20"/>
          <w:szCs w:val="20"/>
        </w:rPr>
        <w:t xml:space="preserve"> </w:t>
      </w:r>
      <w:r w:rsidR="008B02C5" w:rsidRPr="008B02C5">
        <w:rPr>
          <w:rFonts w:ascii="Times New Roman" w:hAnsi="Times New Roman" w:cs="Times New Roman"/>
          <w:sz w:val="20"/>
          <w:szCs w:val="20"/>
        </w:rPr>
        <w:t>Iran Polymer and Petrochemical Institute, POBox: 14975/112, Tehran, Iran</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r w:rsidR="008B02C5">
        <w:rPr>
          <w:rFonts w:ascii="Times New Roman" w:hAnsi="Times New Roman" w:cs="Times New Roman"/>
          <w:b/>
          <w:sz w:val="24"/>
        </w:rPr>
        <w:t>--</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7C60" w:rsidRDefault="00897C60">
      <w:r>
        <w:separator/>
      </w:r>
    </w:p>
  </w:endnote>
  <w:endnote w:type="continuationSeparator" w:id="1">
    <w:p w:rsidR="00897C60" w:rsidRDefault="00897C6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46853">
    <w:pPr>
      <w:pStyle w:val="BodyText"/>
      <w:spacing w:line="14" w:lineRule="auto"/>
      <w:rPr>
        <w:sz w:val="20"/>
      </w:rPr>
    </w:pPr>
    <w:r w:rsidRPr="00C46853">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C46853">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C46853">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7C60" w:rsidRDefault="00897C60">
      <w:r>
        <w:separator/>
      </w:r>
    </w:p>
  </w:footnote>
  <w:footnote w:type="continuationSeparator" w:id="1">
    <w:p w:rsidR="00897C60" w:rsidRDefault="00897C6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46853">
    <w:pPr>
      <w:pStyle w:val="BodyText"/>
      <w:spacing w:line="14" w:lineRule="auto"/>
      <w:rPr>
        <w:sz w:val="20"/>
      </w:rPr>
    </w:pPr>
    <w:r w:rsidRPr="00C46853">
      <w:rPr>
        <w:noProof/>
        <w:lang w:val="en-IN" w:eastAsia="en-IN"/>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517CD"/>
    <w:rsid w:val="000539D1"/>
    <w:rsid w:val="000E2911"/>
    <w:rsid w:val="001263DF"/>
    <w:rsid w:val="001903CC"/>
    <w:rsid w:val="00257586"/>
    <w:rsid w:val="00292ED9"/>
    <w:rsid w:val="003060C2"/>
    <w:rsid w:val="00401713"/>
    <w:rsid w:val="00404E5B"/>
    <w:rsid w:val="00414F7B"/>
    <w:rsid w:val="004355DC"/>
    <w:rsid w:val="00455C3E"/>
    <w:rsid w:val="004749B4"/>
    <w:rsid w:val="004811AA"/>
    <w:rsid w:val="00494130"/>
    <w:rsid w:val="004F3523"/>
    <w:rsid w:val="005973B9"/>
    <w:rsid w:val="005B3A56"/>
    <w:rsid w:val="005D7C65"/>
    <w:rsid w:val="006060CE"/>
    <w:rsid w:val="0063497F"/>
    <w:rsid w:val="00660B67"/>
    <w:rsid w:val="006D061E"/>
    <w:rsid w:val="00742279"/>
    <w:rsid w:val="00764B68"/>
    <w:rsid w:val="00770C34"/>
    <w:rsid w:val="0081195F"/>
    <w:rsid w:val="00873DF0"/>
    <w:rsid w:val="008756E6"/>
    <w:rsid w:val="00897C60"/>
    <w:rsid w:val="008B02C5"/>
    <w:rsid w:val="008F4C83"/>
    <w:rsid w:val="00917443"/>
    <w:rsid w:val="00953603"/>
    <w:rsid w:val="009B2D44"/>
    <w:rsid w:val="009E03D1"/>
    <w:rsid w:val="00A07E82"/>
    <w:rsid w:val="00A363A1"/>
    <w:rsid w:val="00A64CD0"/>
    <w:rsid w:val="00A9710C"/>
    <w:rsid w:val="00AE3E37"/>
    <w:rsid w:val="00B21A57"/>
    <w:rsid w:val="00B24AC1"/>
    <w:rsid w:val="00B32658"/>
    <w:rsid w:val="00C33602"/>
    <w:rsid w:val="00C46853"/>
    <w:rsid w:val="00C86E1F"/>
    <w:rsid w:val="00CD6F55"/>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8396119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 w:id="1723942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p.shokrolahi@ippi.ac.ir"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tiff"/><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499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parvin</cp:lastModifiedBy>
  <cp:revision>4</cp:revision>
  <dcterms:created xsi:type="dcterms:W3CDTF">2018-06-21T14:08:00Z</dcterms:created>
  <dcterms:modified xsi:type="dcterms:W3CDTF">2018-06-21T14:09:00Z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