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321F4" w:rsidRPr="00136116" w:rsidRDefault="001321F4" w:rsidP="001321F4">
      <w:pPr>
        <w:pStyle w:val="AbstractBooktitle"/>
        <w:rPr>
          <w:rStyle w:val="address1"/>
          <w:rFonts w:ascii="Minion Pro" w:hAnsi="Minion Pro"/>
          <w:sz w:val="36"/>
          <w:szCs w:val="36"/>
        </w:rPr>
      </w:pPr>
      <w:r w:rsidRPr="00136116">
        <w:rPr>
          <w:rStyle w:val="address1"/>
          <w:rFonts w:ascii="Minion Pro" w:hAnsi="Minion Pro"/>
          <w:sz w:val="36"/>
          <w:szCs w:val="36"/>
        </w:rPr>
        <w:t xml:space="preserve">Crystallography </w:t>
      </w:r>
      <w:r w:rsidR="001868AC">
        <w:rPr>
          <w:rStyle w:val="address1"/>
          <w:rFonts w:ascii="Minion Pro" w:hAnsi="Minion Pro"/>
          <w:sz w:val="36"/>
          <w:szCs w:val="36"/>
        </w:rPr>
        <w:t>of</w:t>
      </w:r>
      <w:r w:rsidRPr="00136116">
        <w:rPr>
          <w:rStyle w:val="address1"/>
          <w:rFonts w:ascii="Minion Pro" w:hAnsi="Minion Pro"/>
          <w:sz w:val="36"/>
          <w:szCs w:val="36"/>
        </w:rPr>
        <w:t xml:space="preserve"> the Corneal Nanonipple Structure </w:t>
      </w:r>
      <w:r w:rsidR="001868AC">
        <w:rPr>
          <w:rStyle w:val="address1"/>
          <w:rFonts w:ascii="Minion Pro" w:hAnsi="Minion Pro"/>
          <w:sz w:val="36"/>
          <w:szCs w:val="36"/>
        </w:rPr>
        <w:t>on</w:t>
      </w:r>
      <w:r w:rsidRPr="00136116">
        <w:rPr>
          <w:rStyle w:val="address1"/>
          <w:rFonts w:ascii="Minion Pro" w:hAnsi="Minion Pro"/>
          <w:sz w:val="36"/>
          <w:szCs w:val="36"/>
        </w:rPr>
        <w:t xml:space="preserve"> Butterfly Eyes </w:t>
      </w:r>
    </w:p>
    <w:p w:rsidR="005973B9" w:rsidRDefault="00EE61A4" w:rsidP="001321F4">
      <w:pPr>
        <w:pStyle w:val="BodyText"/>
        <w:spacing w:before="73" w:line="198" w:lineRule="exact"/>
        <w:ind w:right="5987"/>
        <w:rPr>
          <w:rFonts w:ascii="Arial"/>
        </w:rPr>
      </w:pPr>
      <w:r w:rsidRPr="00FB70DE">
        <w:rPr>
          <w:b/>
        </w:rPr>
        <w:t>Uwe Erb</w:t>
      </w:r>
      <w:r w:rsidR="00A10A10" w:rsidRPr="00FB70DE">
        <w:rPr>
          <w:b/>
        </w:rPr>
        <w:t xml:space="preserve"> and Ken</w:t>
      </w:r>
      <w:r w:rsidR="001E487E">
        <w:rPr>
          <w:b/>
        </w:rPr>
        <w:t xml:space="preserve"> C.</w:t>
      </w:r>
      <w:r w:rsidR="00A10A10" w:rsidRPr="00FB70DE">
        <w:rPr>
          <w:b/>
        </w:rPr>
        <w:t xml:space="preserve"> Lee</w:t>
      </w:r>
      <w:r w:rsidR="00A10A10">
        <w:t>,</w:t>
      </w:r>
      <w:r>
        <w:t xml:space="preserve"> </w:t>
      </w:r>
      <w:r w:rsidR="001321F4">
        <w:t>Department of Materials Science and Engineering, University of Toronto, Toronto, Ontario, Canada</w:t>
      </w:r>
      <w:r w:rsidR="001321F4">
        <w:rPr>
          <w:rFonts w:ascii="Arial"/>
        </w:rPr>
        <w:t xml:space="preserve"> </w:t>
      </w:r>
    </w:p>
    <w:p w:rsidR="00AE3E37" w:rsidRDefault="00AE3E37">
      <w:pPr>
        <w:pStyle w:val="BodyText"/>
        <w:rPr>
          <w:rFonts w:ascii="Arial"/>
          <w:sz w:val="20"/>
        </w:rPr>
      </w:pPr>
    </w:p>
    <w:p w:rsidR="00AE3E37" w:rsidRDefault="00AE3E37">
      <w:pPr>
        <w:pStyle w:val="BodyText"/>
        <w:spacing w:before="3"/>
        <w:rPr>
          <w:rFonts w:ascii="Arial"/>
          <w:sz w:val="21"/>
        </w:rPr>
      </w:pPr>
    </w:p>
    <w:p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rsidR="00AE3E37" w:rsidRDefault="00A9710C">
      <w:pPr>
        <w:pStyle w:val="Heading3"/>
        <w:spacing w:before="147"/>
        <w:jc w:val="both"/>
      </w:pPr>
      <w:r>
        <w:rPr>
          <w:color w:val="BF5A14"/>
        </w:rPr>
        <w:lastRenderedPageBreak/>
        <w:t>Abstract</w:t>
      </w:r>
      <w:r w:rsidR="00404E5B">
        <w:rPr>
          <w:color w:val="BF5A14"/>
        </w:rPr>
        <w:t xml:space="preserve"> </w:t>
      </w:r>
    </w:p>
    <w:p w:rsidR="001321F4" w:rsidRPr="00B47E41" w:rsidRDefault="001321F4" w:rsidP="00A10A10">
      <w:pPr>
        <w:pStyle w:val="AbstractBooktext"/>
        <w:rPr>
          <w:rFonts w:ascii="Tw Cen MT" w:hAnsi="Tw Cen MT"/>
          <w:sz w:val="18"/>
          <w:szCs w:val="18"/>
        </w:rPr>
      </w:pPr>
      <w:r w:rsidRPr="00B47E41">
        <w:rPr>
          <w:rFonts w:ascii="Tw Cen MT" w:hAnsi="Tw Cen MT"/>
          <w:sz w:val="18"/>
          <w:szCs w:val="18"/>
        </w:rPr>
        <w:t xml:space="preserve">One specific type of corneal nano-nipple arrays found on many insect compound eyes </w:t>
      </w:r>
      <w:proofErr w:type="gramStart"/>
      <w:r w:rsidRPr="00B47E41">
        <w:rPr>
          <w:rFonts w:ascii="Tw Cen MT" w:hAnsi="Tw Cen MT"/>
          <w:sz w:val="18"/>
          <w:szCs w:val="18"/>
        </w:rPr>
        <w:t>are</w:t>
      </w:r>
      <w:proofErr w:type="gramEnd"/>
      <w:r w:rsidRPr="00B47E41">
        <w:rPr>
          <w:rFonts w:ascii="Tw Cen MT" w:hAnsi="Tw Cen MT"/>
          <w:sz w:val="18"/>
          <w:szCs w:val="18"/>
        </w:rPr>
        <w:t xml:space="preserve"> hexagonally arranged protrusions in the shape of inverted </w:t>
      </w:r>
      <w:proofErr w:type="spellStart"/>
      <w:r w:rsidRPr="00B47E41">
        <w:rPr>
          <w:rFonts w:ascii="Tw Cen MT" w:hAnsi="Tw Cen MT"/>
          <w:sz w:val="18"/>
          <w:szCs w:val="18"/>
        </w:rPr>
        <w:t>paraboloids</w:t>
      </w:r>
      <w:proofErr w:type="spellEnd"/>
      <w:r w:rsidRPr="00B47E41">
        <w:rPr>
          <w:rFonts w:ascii="Tw Cen MT" w:hAnsi="Tw Cen MT"/>
          <w:sz w:val="18"/>
          <w:szCs w:val="18"/>
        </w:rPr>
        <w:t>. Prior studies have focused on the anti-reflection properties</w:t>
      </w:r>
      <w:r w:rsidR="001868AC">
        <w:rPr>
          <w:rFonts w:ascii="Tw Cen MT" w:hAnsi="Tw Cen MT"/>
          <w:sz w:val="18"/>
          <w:szCs w:val="18"/>
        </w:rPr>
        <w:t xml:space="preserve"> of the eyes</w:t>
      </w:r>
      <w:r w:rsidRPr="00B47E41">
        <w:rPr>
          <w:rFonts w:ascii="Tw Cen MT" w:hAnsi="Tw Cen MT"/>
          <w:sz w:val="18"/>
          <w:szCs w:val="18"/>
        </w:rPr>
        <w:t xml:space="preserve"> due to the nano-nipple structure [e.g. 1], which depends mainly on the shape of individual nipples. </w:t>
      </w:r>
      <w:r w:rsidR="001868AC">
        <w:rPr>
          <w:rFonts w:ascii="Tw Cen MT" w:hAnsi="Tw Cen MT"/>
          <w:sz w:val="18"/>
          <w:szCs w:val="18"/>
        </w:rPr>
        <w:t>However, in the past little</w:t>
      </w:r>
      <w:r w:rsidRPr="00B47E41">
        <w:rPr>
          <w:rFonts w:ascii="Tw Cen MT" w:hAnsi="Tw Cen MT"/>
          <w:sz w:val="18"/>
          <w:szCs w:val="18"/>
        </w:rPr>
        <w:t xml:space="preserve"> attention was given to the </w:t>
      </w:r>
      <w:r w:rsidR="00F32FCA">
        <w:rPr>
          <w:rFonts w:ascii="Tw Cen MT" w:hAnsi="Tw Cen MT"/>
          <w:sz w:val="18"/>
          <w:szCs w:val="18"/>
        </w:rPr>
        <w:t>details of the</w:t>
      </w:r>
      <w:r w:rsidRPr="00B47E41">
        <w:rPr>
          <w:rFonts w:ascii="Tw Cen MT" w:hAnsi="Tw Cen MT"/>
          <w:sz w:val="18"/>
          <w:szCs w:val="18"/>
        </w:rPr>
        <w:t xml:space="preserve"> arrangement of nano-nipples, which was qualitatively described as consisting of multiple domains. </w:t>
      </w:r>
      <w:r w:rsidR="001868AC">
        <w:rPr>
          <w:rFonts w:ascii="Tw Cen MT" w:hAnsi="Tw Cen MT"/>
          <w:sz w:val="18"/>
          <w:szCs w:val="18"/>
        </w:rPr>
        <w:t>I</w:t>
      </w:r>
      <w:r w:rsidRPr="00B47E41">
        <w:rPr>
          <w:rFonts w:ascii="Tw Cen MT" w:hAnsi="Tw Cen MT"/>
          <w:sz w:val="18"/>
          <w:szCs w:val="18"/>
        </w:rPr>
        <w:t xml:space="preserve">n the current study, remarkable defect structures were found through structural analysis using crystallographic principles. </w:t>
      </w:r>
    </w:p>
    <w:p w:rsidR="001321F4" w:rsidRPr="00B47E41" w:rsidRDefault="001321F4" w:rsidP="00A10A10">
      <w:pPr>
        <w:pStyle w:val="AbstractBooktext"/>
        <w:rPr>
          <w:rFonts w:ascii="Tw Cen MT" w:hAnsi="Tw Cen MT"/>
          <w:sz w:val="18"/>
          <w:szCs w:val="18"/>
        </w:rPr>
      </w:pPr>
      <w:r w:rsidRPr="00B47E41">
        <w:rPr>
          <w:rFonts w:ascii="Tw Cen MT" w:hAnsi="Tw Cen MT"/>
          <w:sz w:val="18"/>
          <w:szCs w:val="18"/>
        </w:rPr>
        <w:t>The investigated species is the Mourning Cloak butterfly (</w:t>
      </w:r>
      <w:proofErr w:type="spellStart"/>
      <w:r w:rsidRPr="00B47E41">
        <w:rPr>
          <w:rFonts w:ascii="Tw Cen MT" w:hAnsi="Tw Cen MT"/>
          <w:sz w:val="18"/>
          <w:szCs w:val="18"/>
        </w:rPr>
        <w:t>Nymphalis</w:t>
      </w:r>
      <w:proofErr w:type="spellEnd"/>
      <w:r w:rsidRPr="00B47E41">
        <w:rPr>
          <w:rFonts w:ascii="Tw Cen MT" w:hAnsi="Tw Cen MT"/>
          <w:sz w:val="18"/>
          <w:szCs w:val="18"/>
        </w:rPr>
        <w:t xml:space="preserve"> </w:t>
      </w:r>
      <w:proofErr w:type="spellStart"/>
      <w:r w:rsidRPr="00B47E41">
        <w:rPr>
          <w:rFonts w:ascii="Tw Cen MT" w:hAnsi="Tw Cen MT"/>
          <w:sz w:val="18"/>
          <w:szCs w:val="18"/>
        </w:rPr>
        <w:t>antiopa</w:t>
      </w:r>
      <w:proofErr w:type="spellEnd"/>
      <w:r w:rsidRPr="00B47E41">
        <w:rPr>
          <w:rFonts w:ascii="Tw Cen MT" w:hAnsi="Tw Cen MT"/>
          <w:sz w:val="18"/>
          <w:szCs w:val="18"/>
        </w:rPr>
        <w:t xml:space="preserve">), which is common in North America as well as </w:t>
      </w:r>
      <w:r w:rsidR="00191A0E" w:rsidRPr="00B47E41">
        <w:rPr>
          <w:rFonts w:ascii="Tw Cen MT" w:hAnsi="Tw Cen MT"/>
          <w:sz w:val="18"/>
          <w:szCs w:val="18"/>
        </w:rPr>
        <w:t>Europe</w:t>
      </w:r>
      <w:r w:rsidRPr="00B47E41">
        <w:rPr>
          <w:rFonts w:ascii="Tw Cen MT" w:hAnsi="Tw Cen MT"/>
          <w:sz w:val="18"/>
          <w:szCs w:val="18"/>
        </w:rPr>
        <w:t xml:space="preserve"> and Asia. On its corneas, nano-nipples are predominantly in </w:t>
      </w:r>
      <w:r w:rsidR="001868AC">
        <w:rPr>
          <w:rFonts w:ascii="Tw Cen MT" w:hAnsi="Tw Cen MT"/>
          <w:sz w:val="18"/>
          <w:szCs w:val="18"/>
        </w:rPr>
        <w:t xml:space="preserve">2-D </w:t>
      </w:r>
      <w:r w:rsidRPr="00B47E41">
        <w:rPr>
          <w:rFonts w:ascii="Tw Cen MT" w:hAnsi="Tw Cen MT"/>
          <w:sz w:val="18"/>
          <w:szCs w:val="18"/>
        </w:rPr>
        <w:t>hexagonal arrangement with an average diameter of 170 nm and an average lattice parameter of 205 nm [</w:t>
      </w:r>
      <w:r w:rsidR="00191A0E">
        <w:rPr>
          <w:rFonts w:ascii="Tw Cen MT" w:hAnsi="Tw Cen MT"/>
          <w:sz w:val="18"/>
          <w:szCs w:val="18"/>
        </w:rPr>
        <w:t>2</w:t>
      </w:r>
      <w:r w:rsidRPr="00B47E41">
        <w:rPr>
          <w:rFonts w:ascii="Tw Cen MT" w:hAnsi="Tw Cen MT"/>
          <w:sz w:val="18"/>
          <w:szCs w:val="18"/>
        </w:rPr>
        <w:t xml:space="preserve">]. An eye with 2 mm in diameter has approximately 10,000 ommatidia and 140 million nipples. However, within the hexagonal structure, there are nipples that deviate from the regular arrangement by having different numbers of nearest </w:t>
      </w:r>
      <w:proofErr w:type="spellStart"/>
      <w:r w:rsidRPr="00B47E41">
        <w:rPr>
          <w:rFonts w:ascii="Tw Cen MT" w:hAnsi="Tw Cen MT"/>
          <w:sz w:val="18"/>
          <w:szCs w:val="18"/>
        </w:rPr>
        <w:t>neighbours</w:t>
      </w:r>
      <w:proofErr w:type="spellEnd"/>
      <w:r w:rsidRPr="00B47E41">
        <w:rPr>
          <w:rFonts w:ascii="Tw Cen MT" w:hAnsi="Tw Cen MT"/>
          <w:sz w:val="18"/>
          <w:szCs w:val="18"/>
        </w:rPr>
        <w:t xml:space="preserve"> (</w:t>
      </w:r>
      <w:proofErr w:type="spellStart"/>
      <w:r w:rsidRPr="00B47E41">
        <w:rPr>
          <w:rFonts w:ascii="Tw Cen MT" w:hAnsi="Tw Cen MT"/>
          <w:sz w:val="18"/>
          <w:szCs w:val="18"/>
        </w:rPr>
        <w:t>NN</w:t>
      </w:r>
      <w:proofErr w:type="spellEnd"/>
      <w:r w:rsidRPr="00B47E41">
        <w:rPr>
          <w:rFonts w:ascii="Tw Cen MT" w:hAnsi="Tw Cen MT"/>
          <w:sz w:val="18"/>
          <w:szCs w:val="18"/>
        </w:rPr>
        <w:t xml:space="preserve">); instead of 6 </w:t>
      </w:r>
      <w:proofErr w:type="spellStart"/>
      <w:r w:rsidRPr="00B47E41">
        <w:rPr>
          <w:rFonts w:ascii="Tw Cen MT" w:hAnsi="Tw Cen MT"/>
          <w:sz w:val="18"/>
          <w:szCs w:val="18"/>
        </w:rPr>
        <w:t>NN</w:t>
      </w:r>
      <w:proofErr w:type="spellEnd"/>
      <w:r w:rsidRPr="00B47E41">
        <w:rPr>
          <w:rFonts w:ascii="Tw Cen MT" w:hAnsi="Tw Cen MT"/>
          <w:sz w:val="18"/>
          <w:szCs w:val="18"/>
        </w:rPr>
        <w:t xml:space="preserve"> required by hexagonal symmetry, about 10% of nano-nipples have 5 or 7 </w:t>
      </w:r>
      <w:proofErr w:type="spellStart"/>
      <w:r w:rsidRPr="00B47E41">
        <w:rPr>
          <w:rFonts w:ascii="Tw Cen MT" w:hAnsi="Tw Cen MT"/>
          <w:sz w:val="18"/>
          <w:szCs w:val="18"/>
        </w:rPr>
        <w:t>NN</w:t>
      </w:r>
      <w:proofErr w:type="spellEnd"/>
      <w:r w:rsidRPr="00B47E41">
        <w:rPr>
          <w:rFonts w:ascii="Tw Cen MT" w:hAnsi="Tw Cen MT"/>
          <w:sz w:val="18"/>
          <w:szCs w:val="18"/>
        </w:rPr>
        <w:t xml:space="preserve"> and are described as 5- and 7-fold coordination defects (</w:t>
      </w:r>
      <w:proofErr w:type="spellStart"/>
      <w:r w:rsidRPr="00B47E41">
        <w:rPr>
          <w:rFonts w:ascii="Tw Cen MT" w:hAnsi="Tw Cen MT"/>
          <w:sz w:val="18"/>
          <w:szCs w:val="18"/>
        </w:rPr>
        <w:t>disclinations</w:t>
      </w:r>
      <w:proofErr w:type="spellEnd"/>
      <w:r w:rsidRPr="00B47E41">
        <w:rPr>
          <w:rFonts w:ascii="Tw Cen MT" w:hAnsi="Tw Cen MT"/>
          <w:sz w:val="18"/>
          <w:szCs w:val="18"/>
        </w:rPr>
        <w:t xml:space="preserve">), respectively. Since the 5- and 7-fold </w:t>
      </w:r>
      <w:proofErr w:type="spellStart"/>
      <w:r w:rsidRPr="00B47E41">
        <w:rPr>
          <w:rFonts w:ascii="Tw Cen MT" w:hAnsi="Tw Cen MT"/>
          <w:sz w:val="18"/>
          <w:szCs w:val="18"/>
        </w:rPr>
        <w:t>disclinations</w:t>
      </w:r>
      <w:proofErr w:type="spellEnd"/>
      <w:r w:rsidRPr="00B47E41">
        <w:rPr>
          <w:rFonts w:ascii="Tw Cen MT" w:hAnsi="Tw Cen MT"/>
          <w:sz w:val="18"/>
          <w:szCs w:val="18"/>
        </w:rPr>
        <w:t xml:space="preserve"> usually occur adjacent to each other, they are collectively referred to as 5-7 defects (see image). </w:t>
      </w:r>
    </w:p>
    <w:p w:rsidR="00A10A10" w:rsidRDefault="001321F4" w:rsidP="00A10A10">
      <w:pPr>
        <w:pStyle w:val="Heading3"/>
        <w:spacing w:before="74"/>
        <w:ind w:left="0"/>
        <w:jc w:val="both"/>
        <w:rPr>
          <w:rFonts w:ascii="Tw Cen MT" w:hAnsi="Tw Cen MT"/>
          <w:b w:val="0"/>
          <w:sz w:val="18"/>
          <w:szCs w:val="18"/>
        </w:rPr>
      </w:pPr>
      <w:r w:rsidRPr="00B47E41">
        <w:rPr>
          <w:rFonts w:ascii="Tw Cen MT" w:hAnsi="Tw Cen MT"/>
          <w:b w:val="0"/>
          <w:sz w:val="18"/>
          <w:szCs w:val="18"/>
        </w:rPr>
        <w:t xml:space="preserve">An individual 5-7 defect </w:t>
      </w:r>
      <w:r w:rsidR="00191A0E">
        <w:rPr>
          <w:rFonts w:ascii="Tw Cen MT" w:hAnsi="Tw Cen MT"/>
          <w:b w:val="0"/>
          <w:sz w:val="18"/>
          <w:szCs w:val="18"/>
        </w:rPr>
        <w:t xml:space="preserve">pair </w:t>
      </w:r>
      <w:r w:rsidRPr="00B47E41">
        <w:rPr>
          <w:rFonts w:ascii="Tw Cen MT" w:hAnsi="Tw Cen MT"/>
          <w:b w:val="0"/>
          <w:sz w:val="18"/>
          <w:szCs w:val="18"/>
        </w:rPr>
        <w:t>affects the nipple structure in a similar fashion as a dislocation in 2-D crystals. Furthermore, the 5-7 defects are not arranged randomly; instead, they show a strong preference to align in rows to divide the domains of nano-nipples like grain boundaries between crystals [</w:t>
      </w:r>
      <w:r w:rsidR="00191A0E">
        <w:rPr>
          <w:rFonts w:ascii="Tw Cen MT" w:hAnsi="Tw Cen MT"/>
          <w:b w:val="0"/>
          <w:sz w:val="18"/>
          <w:szCs w:val="18"/>
        </w:rPr>
        <w:t>2</w:t>
      </w:r>
      <w:r w:rsidRPr="00B47E41">
        <w:rPr>
          <w:rFonts w:ascii="Tw Cen MT" w:hAnsi="Tw Cen MT"/>
          <w:b w:val="0"/>
          <w:sz w:val="18"/>
          <w:szCs w:val="18"/>
        </w:rPr>
        <w:t xml:space="preserve">, </w:t>
      </w:r>
      <w:r w:rsidR="00191A0E">
        <w:rPr>
          <w:rFonts w:ascii="Tw Cen MT" w:hAnsi="Tw Cen MT"/>
          <w:b w:val="0"/>
          <w:sz w:val="18"/>
          <w:szCs w:val="18"/>
        </w:rPr>
        <w:t>3</w:t>
      </w:r>
      <w:r w:rsidRPr="00B47E41">
        <w:rPr>
          <w:rFonts w:ascii="Tw Cen MT" w:hAnsi="Tw Cen MT"/>
          <w:b w:val="0"/>
          <w:sz w:val="18"/>
          <w:szCs w:val="18"/>
        </w:rPr>
        <w:t xml:space="preserve">]. The distribution of the domain sizes is log-normal, and </w:t>
      </w:r>
      <w:proofErr w:type="gramStart"/>
      <w:r w:rsidRPr="00B47E41">
        <w:rPr>
          <w:rFonts w:ascii="Tw Cen MT" w:hAnsi="Tw Cen MT"/>
          <w:b w:val="0"/>
          <w:sz w:val="18"/>
          <w:szCs w:val="18"/>
        </w:rPr>
        <w:t>analysis of the orientations of nipple domains indicate</w:t>
      </w:r>
      <w:proofErr w:type="gramEnd"/>
      <w:r w:rsidRPr="00B47E41">
        <w:rPr>
          <w:rFonts w:ascii="Tw Cen MT" w:hAnsi="Tw Cen MT"/>
          <w:b w:val="0"/>
          <w:sz w:val="18"/>
          <w:szCs w:val="18"/>
        </w:rPr>
        <w:t xml:space="preserve"> no preferred orientation. This intriguing structure will be discussed in reference to protrusion formation theories by  </w:t>
      </w:r>
      <w:proofErr w:type="spellStart"/>
      <w:r w:rsidRPr="00B47E41">
        <w:rPr>
          <w:rFonts w:ascii="Tw Cen MT" w:hAnsi="Tw Cen MT"/>
          <w:b w:val="0"/>
          <w:sz w:val="18"/>
          <w:szCs w:val="18"/>
        </w:rPr>
        <w:t>i</w:t>
      </w:r>
      <w:proofErr w:type="spellEnd"/>
      <w:r w:rsidRPr="00B47E41">
        <w:rPr>
          <w:rFonts w:ascii="Tw Cen MT" w:hAnsi="Tw Cen MT"/>
          <w:b w:val="0"/>
          <w:sz w:val="18"/>
          <w:szCs w:val="18"/>
        </w:rPr>
        <w:t xml:space="preserve">) </w:t>
      </w:r>
      <w:proofErr w:type="spellStart"/>
      <w:r w:rsidRPr="00B47E41">
        <w:rPr>
          <w:rFonts w:ascii="Tw Cen MT" w:hAnsi="Tw Cen MT"/>
          <w:b w:val="0"/>
          <w:sz w:val="18"/>
          <w:szCs w:val="18"/>
        </w:rPr>
        <w:t>microvilli</w:t>
      </w:r>
      <w:proofErr w:type="spellEnd"/>
      <w:r w:rsidRPr="00B47E41">
        <w:rPr>
          <w:rFonts w:ascii="Tw Cen MT" w:hAnsi="Tw Cen MT"/>
          <w:b w:val="0"/>
          <w:sz w:val="18"/>
          <w:szCs w:val="18"/>
        </w:rPr>
        <w:t xml:space="preserve"> secretion [</w:t>
      </w:r>
      <w:r w:rsidR="00191A0E">
        <w:rPr>
          <w:rFonts w:ascii="Tw Cen MT" w:hAnsi="Tw Cen MT"/>
          <w:b w:val="0"/>
          <w:sz w:val="18"/>
          <w:szCs w:val="18"/>
        </w:rPr>
        <w:t>4</w:t>
      </w:r>
      <w:r w:rsidRPr="00B47E41">
        <w:rPr>
          <w:rFonts w:ascii="Tw Cen MT" w:hAnsi="Tw Cen MT"/>
          <w:b w:val="0"/>
          <w:sz w:val="18"/>
          <w:szCs w:val="18"/>
        </w:rPr>
        <w:t>] and ii) reaction-diffusion controlled coating development</w:t>
      </w:r>
      <w:r w:rsidR="001868AC">
        <w:rPr>
          <w:rFonts w:ascii="Tw Cen MT" w:hAnsi="Tw Cen MT"/>
          <w:b w:val="0"/>
          <w:sz w:val="18"/>
          <w:szCs w:val="18"/>
        </w:rPr>
        <w:t xml:space="preserve"> [5]</w:t>
      </w:r>
      <w:r w:rsidRPr="00B47E41">
        <w:rPr>
          <w:rFonts w:ascii="Tw Cen MT" w:hAnsi="Tw Cen MT"/>
          <w:b w:val="0"/>
          <w:sz w:val="18"/>
          <w:szCs w:val="18"/>
        </w:rPr>
        <w:t>, respectively</w:t>
      </w:r>
      <w:r w:rsidR="001868AC">
        <w:rPr>
          <w:rFonts w:ascii="Tw Cen MT" w:hAnsi="Tw Cen MT"/>
          <w:b w:val="0"/>
          <w:sz w:val="18"/>
          <w:szCs w:val="18"/>
        </w:rPr>
        <w:t xml:space="preserve">. Finally, a comparison will be presented with similar structural defects </w:t>
      </w:r>
      <w:r w:rsidR="00A10A10">
        <w:rPr>
          <w:rFonts w:ascii="Tw Cen MT" w:hAnsi="Tw Cen MT"/>
          <w:b w:val="0"/>
          <w:sz w:val="18"/>
          <w:szCs w:val="18"/>
        </w:rPr>
        <w:t>found</w:t>
      </w:r>
      <w:r w:rsidR="001868AC">
        <w:rPr>
          <w:rFonts w:ascii="Tw Cen MT" w:hAnsi="Tw Cen MT"/>
          <w:b w:val="0"/>
          <w:sz w:val="18"/>
          <w:szCs w:val="18"/>
        </w:rPr>
        <w:t xml:space="preserve"> in man-made 2-D materials such as self-assembled </w:t>
      </w:r>
      <w:proofErr w:type="spellStart"/>
      <w:r w:rsidR="001868AC">
        <w:rPr>
          <w:rFonts w:ascii="Tw Cen MT" w:hAnsi="Tw Cen MT"/>
          <w:b w:val="0"/>
          <w:sz w:val="18"/>
          <w:szCs w:val="18"/>
        </w:rPr>
        <w:t>monolayers</w:t>
      </w:r>
      <w:proofErr w:type="spellEnd"/>
      <w:r w:rsidR="001868AC">
        <w:rPr>
          <w:rFonts w:ascii="Tw Cen MT" w:hAnsi="Tw Cen MT"/>
          <w:b w:val="0"/>
          <w:sz w:val="18"/>
          <w:szCs w:val="18"/>
        </w:rPr>
        <w:t xml:space="preserve"> or graphene.</w:t>
      </w:r>
    </w:p>
    <w:p w:rsidR="00AE3E37" w:rsidRDefault="001868AC" w:rsidP="00A10A10">
      <w:pPr>
        <w:pStyle w:val="Heading3"/>
        <w:spacing w:before="74"/>
        <w:ind w:left="0"/>
        <w:jc w:val="both"/>
      </w:pPr>
      <w:r>
        <w:rPr>
          <w:rFonts w:ascii="Tw Cen MT" w:hAnsi="Tw Cen MT"/>
          <w:b w:val="0"/>
          <w:sz w:val="18"/>
          <w:szCs w:val="18"/>
        </w:rPr>
        <w:t xml:space="preserve"> </w:t>
      </w:r>
      <w:r w:rsidR="00A9710C">
        <w:rPr>
          <w:b w:val="0"/>
        </w:rPr>
        <w:br w:type="column"/>
      </w:r>
      <w:r w:rsidR="00A9710C">
        <w:rPr>
          <w:color w:val="BF5A14"/>
        </w:rPr>
        <w:lastRenderedPageBreak/>
        <w:t>Image</w:t>
      </w:r>
    </w:p>
    <w:p w:rsidR="00AE3E37" w:rsidRDefault="00781DF4" w:rsidP="004B4EAA">
      <w:pPr>
        <w:pStyle w:val="BodyText"/>
        <w:spacing w:before="2"/>
        <w:jc w:val="center"/>
        <w:rPr>
          <w:rFonts w:ascii="Arial"/>
          <w:b/>
          <w:sz w:val="16"/>
        </w:rPr>
      </w:pPr>
      <w:r w:rsidRPr="00781DF4">
        <w:rPr>
          <w:noProof/>
          <w:lang w:val="en-CA" w:eastAsia="en-CA"/>
        </w:rPr>
        <w:drawing>
          <wp:inline distT="0" distB="0" distL="0" distR="0">
            <wp:extent cx="2764917" cy="2777718"/>
            <wp:effectExtent l="19050" t="0" r="0" b="0"/>
            <wp:docPr id="2" name="Picture 1" descr="Fig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7" descr="Fig 3"/>
                    <pic:cNvPicPr>
                      <a:picLocks noChangeAspect="1"/>
                    </pic:cNvPicPr>
                  </pic:nvPicPr>
                  <pic:blipFill>
                    <a:blip r:embed="rId9" cstate="print">
                      <a:extLst>
                        <a:ext uri="{28A0092B-C50C-407E-A947-70E740481C1C}">
                          <a14:useLocalDpi xmlns:o="urn:schemas-microsoft-com:office:office" xmlns:v="urn:schemas-microsoft-com:vml" xmlns:w10="urn:schemas-microsoft-com:office:word" xmlns:w="http://schemas.openxmlformats.org/wordprocessingml/2006/main" xmlns:p="http://schemas.openxmlformats.org/presentationml/2006/main" xmlns="" xmlns:a14="http://schemas.microsoft.com/office/drawing/2010/main" xmlns:lc="http://schemas.openxmlformats.org/drawingml/2006/lockedCanvas" val="0"/>
                        </a:ext>
                      </a:extLst>
                    </a:blip>
                    <a:srcRect/>
                    <a:stretch>
                      <a:fillRect/>
                    </a:stretch>
                  </pic:blipFill>
                  <pic:spPr bwMode="auto">
                    <a:xfrm>
                      <a:off x="0" y="0"/>
                      <a:ext cx="2764917" cy="2777718"/>
                    </a:xfrm>
                    <a:prstGeom prst="rect">
                      <a:avLst/>
                    </a:prstGeom>
                    <a:noFill/>
                    <a:ln>
                      <a:noFill/>
                    </a:ln>
                  </pic:spPr>
                </pic:pic>
              </a:graphicData>
            </a:graphic>
          </wp:inline>
        </w:drawing>
      </w:r>
    </w:p>
    <w:p w:rsidR="005973B9" w:rsidRDefault="005973B9" w:rsidP="005973B9">
      <w:pPr>
        <w:spacing w:line="204" w:lineRule="exact"/>
        <w:rPr>
          <w:rFonts w:ascii="Arial"/>
          <w:b/>
          <w:sz w:val="20"/>
        </w:rPr>
      </w:pPr>
      <w:r>
        <w:rPr>
          <w:rFonts w:ascii="Arial"/>
          <w:b/>
          <w:color w:val="BF5A14"/>
          <w:sz w:val="20"/>
        </w:rPr>
        <w:br/>
        <w:t xml:space="preserve">Recent Publications </w:t>
      </w:r>
    </w:p>
    <w:p w:rsidR="003254DC" w:rsidRPr="001B2636" w:rsidRDefault="00653748" w:rsidP="00136116">
      <w:pPr>
        <w:pStyle w:val="AbstractBookreference"/>
        <w:numPr>
          <w:ilvl w:val="0"/>
          <w:numId w:val="5"/>
        </w:numPr>
        <w:spacing w:before="120"/>
        <w:rPr>
          <w:rFonts w:asciiTheme="minorHAnsi" w:hAnsiTheme="minorHAnsi"/>
          <w:sz w:val="18"/>
          <w:szCs w:val="18"/>
        </w:rPr>
      </w:pPr>
      <w:r w:rsidRPr="00653748">
        <w:rPr>
          <w:rFonts w:asciiTheme="minorHAnsi" w:hAnsiTheme="minorHAnsi"/>
          <w:sz w:val="18"/>
          <w:szCs w:val="18"/>
        </w:rPr>
        <w:t xml:space="preserve">S. J. Wilson and M. C. </w:t>
      </w:r>
      <w:proofErr w:type="spellStart"/>
      <w:r w:rsidRPr="00653748">
        <w:rPr>
          <w:rFonts w:asciiTheme="minorHAnsi" w:hAnsiTheme="minorHAnsi"/>
          <w:sz w:val="18"/>
          <w:szCs w:val="18"/>
        </w:rPr>
        <w:t>Hutley</w:t>
      </w:r>
      <w:proofErr w:type="spellEnd"/>
      <w:r w:rsidRPr="00653748">
        <w:rPr>
          <w:rFonts w:asciiTheme="minorHAnsi" w:hAnsiTheme="minorHAnsi"/>
          <w:sz w:val="18"/>
          <w:szCs w:val="18"/>
        </w:rPr>
        <w:t>,</w:t>
      </w:r>
      <w:r w:rsidR="003254DC">
        <w:rPr>
          <w:rFonts w:asciiTheme="minorHAnsi" w:hAnsiTheme="minorHAnsi"/>
          <w:sz w:val="18"/>
          <w:szCs w:val="18"/>
        </w:rPr>
        <w:t xml:space="preserve"> </w:t>
      </w:r>
      <w:proofErr w:type="gramStart"/>
      <w:r w:rsidR="003254DC" w:rsidRPr="003254DC">
        <w:rPr>
          <w:rFonts w:asciiTheme="minorHAnsi" w:hAnsiTheme="minorHAnsi"/>
          <w:i/>
          <w:sz w:val="18"/>
          <w:szCs w:val="18"/>
        </w:rPr>
        <w:t>The</w:t>
      </w:r>
      <w:proofErr w:type="gramEnd"/>
      <w:r w:rsidR="003254DC" w:rsidRPr="003254DC">
        <w:rPr>
          <w:rFonts w:asciiTheme="minorHAnsi" w:hAnsiTheme="minorHAnsi"/>
          <w:i/>
          <w:sz w:val="18"/>
          <w:szCs w:val="18"/>
        </w:rPr>
        <w:t xml:space="preserve"> Optical Properties of “Moth Eye” Antireflection Surfaces,</w:t>
      </w:r>
      <w:r w:rsidRPr="00653748">
        <w:rPr>
          <w:rFonts w:asciiTheme="minorHAnsi" w:hAnsiTheme="minorHAnsi"/>
          <w:sz w:val="18"/>
          <w:szCs w:val="18"/>
        </w:rPr>
        <w:t xml:space="preserve"> </w:t>
      </w:r>
      <w:r w:rsidRPr="00653748">
        <w:rPr>
          <w:rFonts w:asciiTheme="minorHAnsi" w:hAnsiTheme="minorHAnsi"/>
          <w:i/>
          <w:sz w:val="18"/>
          <w:szCs w:val="18"/>
        </w:rPr>
        <w:t xml:space="preserve">Opt. </w:t>
      </w:r>
      <w:proofErr w:type="spellStart"/>
      <w:r w:rsidRPr="00653748">
        <w:rPr>
          <w:rFonts w:asciiTheme="minorHAnsi" w:hAnsiTheme="minorHAnsi"/>
          <w:i/>
          <w:sz w:val="18"/>
          <w:szCs w:val="18"/>
        </w:rPr>
        <w:t>Acta</w:t>
      </w:r>
      <w:proofErr w:type="spellEnd"/>
      <w:r w:rsidRPr="00653748">
        <w:rPr>
          <w:rFonts w:asciiTheme="minorHAnsi" w:hAnsiTheme="minorHAnsi"/>
          <w:sz w:val="18"/>
          <w:szCs w:val="18"/>
        </w:rPr>
        <w:t xml:space="preserve"> </w:t>
      </w:r>
      <w:r w:rsidRPr="00653748">
        <w:rPr>
          <w:rFonts w:asciiTheme="minorHAnsi" w:hAnsiTheme="minorHAnsi"/>
          <w:b/>
          <w:sz w:val="18"/>
          <w:szCs w:val="18"/>
        </w:rPr>
        <w:t>29</w:t>
      </w:r>
      <w:r w:rsidRPr="00653748">
        <w:rPr>
          <w:rFonts w:asciiTheme="minorHAnsi" w:hAnsiTheme="minorHAnsi"/>
          <w:sz w:val="18"/>
          <w:szCs w:val="18"/>
        </w:rPr>
        <w:t>, 993 (1982).</w:t>
      </w:r>
    </w:p>
    <w:p w:rsidR="003254DC" w:rsidRPr="001B2636" w:rsidRDefault="00653748" w:rsidP="00136116">
      <w:pPr>
        <w:pStyle w:val="AbstractBookreference"/>
        <w:numPr>
          <w:ilvl w:val="0"/>
          <w:numId w:val="5"/>
        </w:numPr>
        <w:spacing w:before="120"/>
        <w:rPr>
          <w:rFonts w:asciiTheme="minorHAnsi" w:hAnsiTheme="minorHAnsi"/>
          <w:sz w:val="18"/>
          <w:szCs w:val="18"/>
        </w:rPr>
      </w:pPr>
      <w:r w:rsidRPr="00653748">
        <w:rPr>
          <w:rFonts w:asciiTheme="minorHAnsi" w:hAnsiTheme="minorHAnsi"/>
          <w:sz w:val="18"/>
          <w:szCs w:val="18"/>
        </w:rPr>
        <w:t xml:space="preserve">K. C. Lee and </w:t>
      </w:r>
      <w:r w:rsidRPr="00B47E41">
        <w:rPr>
          <w:rFonts w:asciiTheme="minorHAnsi" w:hAnsiTheme="minorHAnsi"/>
          <w:b/>
          <w:sz w:val="18"/>
          <w:szCs w:val="18"/>
        </w:rPr>
        <w:t>U. Erb</w:t>
      </w:r>
      <w:r w:rsidRPr="00653748">
        <w:rPr>
          <w:rFonts w:asciiTheme="minorHAnsi" w:hAnsiTheme="minorHAnsi"/>
          <w:sz w:val="18"/>
          <w:szCs w:val="18"/>
        </w:rPr>
        <w:t>,</w:t>
      </w:r>
      <w:r w:rsidR="00B47E41" w:rsidRPr="00B47E41">
        <w:t xml:space="preserve"> </w:t>
      </w:r>
      <w:r w:rsidR="00B47E41" w:rsidRPr="00B47E41">
        <w:rPr>
          <w:rFonts w:asciiTheme="minorHAnsi" w:hAnsiTheme="minorHAnsi"/>
          <w:i/>
          <w:sz w:val="18"/>
          <w:szCs w:val="18"/>
        </w:rPr>
        <w:t>Remarkable Crystal and Defect Structures in Butterfly Eye Nano-nipple Arrays</w:t>
      </w:r>
      <w:r w:rsidR="00B47E41">
        <w:rPr>
          <w:rFonts w:asciiTheme="minorHAnsi" w:hAnsiTheme="minorHAnsi"/>
          <w:sz w:val="18"/>
          <w:szCs w:val="18"/>
        </w:rPr>
        <w:t>,</w:t>
      </w:r>
      <w:r w:rsidR="00B47E41" w:rsidRPr="00B47E41">
        <w:rPr>
          <w:rFonts w:asciiTheme="minorHAnsi" w:hAnsiTheme="minorHAnsi"/>
          <w:sz w:val="18"/>
          <w:szCs w:val="18"/>
        </w:rPr>
        <w:t xml:space="preserve"> </w:t>
      </w:r>
      <w:r w:rsidRPr="00653748">
        <w:rPr>
          <w:rFonts w:asciiTheme="minorHAnsi" w:hAnsiTheme="minorHAnsi"/>
          <w:i/>
          <w:sz w:val="18"/>
          <w:szCs w:val="18"/>
        </w:rPr>
        <w:t xml:space="preserve">Arthropod </w:t>
      </w:r>
      <w:proofErr w:type="spellStart"/>
      <w:r w:rsidRPr="00653748">
        <w:rPr>
          <w:rFonts w:asciiTheme="minorHAnsi" w:hAnsiTheme="minorHAnsi"/>
          <w:i/>
          <w:sz w:val="18"/>
          <w:szCs w:val="18"/>
        </w:rPr>
        <w:t>Struct</w:t>
      </w:r>
      <w:proofErr w:type="spellEnd"/>
      <w:r w:rsidRPr="00653748">
        <w:rPr>
          <w:rFonts w:asciiTheme="minorHAnsi" w:hAnsiTheme="minorHAnsi"/>
          <w:i/>
          <w:sz w:val="18"/>
          <w:szCs w:val="18"/>
        </w:rPr>
        <w:t>. Dev.</w:t>
      </w:r>
      <w:r w:rsidRPr="00653748">
        <w:rPr>
          <w:rFonts w:asciiTheme="minorHAnsi" w:hAnsiTheme="minorHAnsi"/>
          <w:sz w:val="18"/>
          <w:szCs w:val="18"/>
        </w:rPr>
        <w:t xml:space="preserve"> </w:t>
      </w:r>
      <w:r w:rsidRPr="00653748">
        <w:rPr>
          <w:rFonts w:asciiTheme="minorHAnsi" w:hAnsiTheme="minorHAnsi"/>
          <w:b/>
          <w:sz w:val="18"/>
          <w:szCs w:val="18"/>
        </w:rPr>
        <w:t>44</w:t>
      </w:r>
      <w:r w:rsidRPr="00653748">
        <w:rPr>
          <w:rFonts w:asciiTheme="minorHAnsi" w:hAnsiTheme="minorHAnsi"/>
          <w:sz w:val="18"/>
          <w:szCs w:val="18"/>
        </w:rPr>
        <w:t>, 587 (2015).</w:t>
      </w:r>
    </w:p>
    <w:p w:rsidR="003254DC" w:rsidRPr="001B2636" w:rsidRDefault="00653748" w:rsidP="00136116">
      <w:pPr>
        <w:pStyle w:val="AbstractBookreference"/>
        <w:numPr>
          <w:ilvl w:val="0"/>
          <w:numId w:val="5"/>
        </w:numPr>
        <w:spacing w:before="120"/>
        <w:rPr>
          <w:rFonts w:asciiTheme="minorHAnsi" w:hAnsiTheme="minorHAnsi"/>
          <w:sz w:val="18"/>
          <w:szCs w:val="18"/>
        </w:rPr>
      </w:pPr>
      <w:r w:rsidRPr="00653748">
        <w:rPr>
          <w:rFonts w:ascii="Calibri" w:hAnsi="Calibri"/>
          <w:sz w:val="18"/>
          <w:szCs w:val="18"/>
        </w:rPr>
        <w:t xml:space="preserve">K. C. Lee, Qi Yu, </w:t>
      </w:r>
      <w:r w:rsidRPr="00653748">
        <w:rPr>
          <w:rFonts w:ascii="Calibri" w:hAnsi="Calibri"/>
          <w:b/>
          <w:sz w:val="18"/>
          <w:szCs w:val="18"/>
        </w:rPr>
        <w:t>U. Erb</w:t>
      </w:r>
      <w:r w:rsidRPr="00653748">
        <w:rPr>
          <w:rFonts w:ascii="Calibri" w:hAnsi="Calibri"/>
          <w:sz w:val="18"/>
          <w:szCs w:val="18"/>
        </w:rPr>
        <w:t xml:space="preserve">, </w:t>
      </w:r>
      <w:proofErr w:type="spellStart"/>
      <w:r w:rsidRPr="00653748">
        <w:rPr>
          <w:rFonts w:ascii="Calibri" w:hAnsi="Calibri"/>
          <w:i/>
          <w:sz w:val="18"/>
          <w:szCs w:val="18"/>
        </w:rPr>
        <w:t>Mesostructure</w:t>
      </w:r>
      <w:proofErr w:type="spellEnd"/>
      <w:r w:rsidRPr="00653748">
        <w:rPr>
          <w:rFonts w:ascii="Calibri" w:hAnsi="Calibri"/>
          <w:i/>
          <w:sz w:val="18"/>
          <w:szCs w:val="18"/>
        </w:rPr>
        <w:t xml:space="preserve"> of Ordered Corneal Nano-nipple Arrays</w:t>
      </w:r>
      <w:r w:rsidR="00052497" w:rsidRPr="00653748">
        <w:rPr>
          <w:rFonts w:ascii="Calibri" w:hAnsi="Calibri"/>
          <w:sz w:val="18"/>
          <w:szCs w:val="18"/>
        </w:rPr>
        <w:t>, Scientific</w:t>
      </w:r>
      <w:r w:rsidRPr="00653748">
        <w:rPr>
          <w:rFonts w:ascii="Calibri" w:hAnsi="Calibri"/>
          <w:sz w:val="18"/>
          <w:szCs w:val="18"/>
        </w:rPr>
        <w:t xml:space="preserve"> Reports | </w:t>
      </w:r>
      <w:r w:rsidRPr="00B47E41">
        <w:rPr>
          <w:rFonts w:ascii="Calibri" w:hAnsi="Calibri"/>
          <w:b/>
          <w:sz w:val="18"/>
          <w:szCs w:val="18"/>
        </w:rPr>
        <w:t>6:28342</w:t>
      </w:r>
      <w:r w:rsidRPr="00653748">
        <w:rPr>
          <w:rFonts w:ascii="Calibri" w:hAnsi="Calibri"/>
          <w:sz w:val="18"/>
          <w:szCs w:val="18"/>
        </w:rPr>
        <w:t xml:space="preserve"> | (2016)</w:t>
      </w:r>
      <w:r w:rsidR="00C45C08">
        <w:rPr>
          <w:rFonts w:ascii="Calibri" w:hAnsi="Calibri"/>
          <w:sz w:val="18"/>
          <w:szCs w:val="18"/>
        </w:rPr>
        <w:t>.</w:t>
      </w:r>
      <w:r w:rsidRPr="00653748">
        <w:rPr>
          <w:rFonts w:ascii="Calibri" w:hAnsi="Calibri"/>
          <w:sz w:val="18"/>
          <w:szCs w:val="18"/>
        </w:rPr>
        <w:t xml:space="preserve"> </w:t>
      </w:r>
    </w:p>
    <w:p w:rsidR="003254DC" w:rsidRPr="001B2636" w:rsidRDefault="00653748" w:rsidP="00136116">
      <w:pPr>
        <w:pStyle w:val="AbstractBookreference"/>
        <w:numPr>
          <w:ilvl w:val="0"/>
          <w:numId w:val="5"/>
        </w:numPr>
        <w:spacing w:before="120"/>
        <w:rPr>
          <w:rFonts w:asciiTheme="minorHAnsi" w:hAnsiTheme="minorHAnsi"/>
          <w:sz w:val="18"/>
          <w:szCs w:val="18"/>
        </w:rPr>
      </w:pPr>
      <w:r w:rsidRPr="00B47E41">
        <w:rPr>
          <w:rFonts w:asciiTheme="minorHAnsi" w:hAnsiTheme="minorHAnsi"/>
          <w:sz w:val="18"/>
          <w:szCs w:val="18"/>
        </w:rPr>
        <w:t xml:space="preserve">G. </w:t>
      </w:r>
      <w:proofErr w:type="spellStart"/>
      <w:r w:rsidRPr="00B47E41">
        <w:rPr>
          <w:rFonts w:asciiTheme="minorHAnsi" w:hAnsiTheme="minorHAnsi"/>
          <w:sz w:val="18"/>
          <w:szCs w:val="18"/>
        </w:rPr>
        <w:t>Gemne</w:t>
      </w:r>
      <w:proofErr w:type="spellEnd"/>
      <w:r w:rsidRPr="00B47E41">
        <w:rPr>
          <w:rFonts w:asciiTheme="minorHAnsi" w:hAnsiTheme="minorHAnsi"/>
          <w:sz w:val="18"/>
          <w:szCs w:val="18"/>
        </w:rPr>
        <w:t>,</w:t>
      </w:r>
      <w:r w:rsidR="00B47E41" w:rsidRPr="00B47E41">
        <w:rPr>
          <w:rFonts w:ascii="Arial" w:hAnsi="Arial" w:cs="Arial"/>
          <w:color w:val="000000"/>
          <w:sz w:val="37"/>
          <w:szCs w:val="37"/>
        </w:rPr>
        <w:t xml:space="preserve"> </w:t>
      </w:r>
      <w:r w:rsidR="003254DC">
        <w:rPr>
          <w:rFonts w:asciiTheme="minorHAnsi" w:hAnsiTheme="minorHAnsi" w:cs="Arial"/>
          <w:color w:val="000000"/>
          <w:sz w:val="18"/>
          <w:szCs w:val="18"/>
        </w:rPr>
        <w:t xml:space="preserve">Ontogenesis of </w:t>
      </w:r>
      <w:r w:rsidR="003254DC" w:rsidRPr="003254DC">
        <w:rPr>
          <w:rFonts w:asciiTheme="minorHAnsi" w:hAnsiTheme="minorHAnsi" w:cs="Arial"/>
          <w:i/>
          <w:color w:val="000000"/>
          <w:sz w:val="18"/>
          <w:szCs w:val="18"/>
        </w:rPr>
        <w:t>Corneal Surface Ultrastructure in Nocturnal Lepidoptera</w:t>
      </w:r>
      <w:r w:rsidR="00B47E41" w:rsidRPr="00B47E41">
        <w:rPr>
          <w:rFonts w:asciiTheme="minorHAnsi" w:hAnsiTheme="minorHAnsi"/>
          <w:sz w:val="18"/>
          <w:szCs w:val="18"/>
        </w:rPr>
        <w:t>,</w:t>
      </w:r>
      <w:r w:rsidR="00B47E41">
        <w:rPr>
          <w:rFonts w:asciiTheme="minorHAnsi" w:hAnsiTheme="minorHAnsi"/>
          <w:sz w:val="18"/>
          <w:szCs w:val="18"/>
        </w:rPr>
        <w:t xml:space="preserve"> </w:t>
      </w:r>
      <w:r w:rsidRPr="00B47E41">
        <w:rPr>
          <w:rFonts w:asciiTheme="minorHAnsi" w:hAnsiTheme="minorHAnsi"/>
          <w:i/>
          <w:sz w:val="18"/>
          <w:szCs w:val="18"/>
        </w:rPr>
        <w:t xml:space="preserve">Phil. Trans. Roy. Soc. </w:t>
      </w:r>
      <w:proofErr w:type="spellStart"/>
      <w:r w:rsidRPr="00B47E41">
        <w:rPr>
          <w:rFonts w:asciiTheme="minorHAnsi" w:hAnsiTheme="minorHAnsi"/>
          <w:i/>
          <w:sz w:val="18"/>
          <w:szCs w:val="18"/>
        </w:rPr>
        <w:t>Lond</w:t>
      </w:r>
      <w:proofErr w:type="spellEnd"/>
      <w:r w:rsidRPr="00B47E41">
        <w:rPr>
          <w:rFonts w:asciiTheme="minorHAnsi" w:hAnsiTheme="minorHAnsi"/>
          <w:i/>
          <w:sz w:val="18"/>
          <w:szCs w:val="18"/>
        </w:rPr>
        <w:t xml:space="preserve">. </w:t>
      </w:r>
      <w:r w:rsidRPr="00B47E41">
        <w:rPr>
          <w:rFonts w:asciiTheme="minorHAnsi" w:hAnsiTheme="minorHAnsi"/>
          <w:b/>
          <w:i/>
          <w:sz w:val="18"/>
          <w:szCs w:val="18"/>
        </w:rPr>
        <w:t xml:space="preserve">B </w:t>
      </w:r>
      <w:r w:rsidRPr="00B47E41">
        <w:rPr>
          <w:rFonts w:asciiTheme="minorHAnsi" w:hAnsiTheme="minorHAnsi"/>
          <w:b/>
          <w:sz w:val="18"/>
          <w:szCs w:val="18"/>
        </w:rPr>
        <w:t>262</w:t>
      </w:r>
      <w:r w:rsidRPr="00B47E41">
        <w:rPr>
          <w:rFonts w:asciiTheme="minorHAnsi" w:hAnsiTheme="minorHAnsi"/>
          <w:sz w:val="18"/>
          <w:szCs w:val="18"/>
        </w:rPr>
        <w:t>, 343 (1971).</w:t>
      </w:r>
    </w:p>
    <w:p w:rsidR="00653748" w:rsidRPr="00653748" w:rsidRDefault="00653748" w:rsidP="00136116">
      <w:pPr>
        <w:pStyle w:val="AbstractBookreference"/>
        <w:numPr>
          <w:ilvl w:val="0"/>
          <w:numId w:val="5"/>
        </w:numPr>
        <w:spacing w:before="120"/>
        <w:rPr>
          <w:rFonts w:asciiTheme="minorHAnsi" w:hAnsiTheme="minorHAnsi"/>
          <w:sz w:val="18"/>
          <w:szCs w:val="18"/>
        </w:rPr>
      </w:pPr>
      <w:r w:rsidRPr="00653748">
        <w:rPr>
          <w:rFonts w:asciiTheme="minorHAnsi" w:hAnsiTheme="minorHAnsi"/>
          <w:sz w:val="18"/>
          <w:szCs w:val="18"/>
        </w:rPr>
        <w:t xml:space="preserve">A. Blagodatski, A. </w:t>
      </w:r>
      <w:proofErr w:type="spellStart"/>
      <w:r w:rsidRPr="00653748">
        <w:rPr>
          <w:rFonts w:asciiTheme="minorHAnsi" w:hAnsiTheme="minorHAnsi"/>
          <w:sz w:val="18"/>
          <w:szCs w:val="18"/>
        </w:rPr>
        <w:t>Sergeev</w:t>
      </w:r>
      <w:proofErr w:type="spellEnd"/>
      <w:r w:rsidRPr="00653748">
        <w:rPr>
          <w:rFonts w:asciiTheme="minorHAnsi" w:hAnsiTheme="minorHAnsi"/>
          <w:sz w:val="18"/>
          <w:szCs w:val="18"/>
        </w:rPr>
        <w:t xml:space="preserve">, M. </w:t>
      </w:r>
      <w:proofErr w:type="spellStart"/>
      <w:r w:rsidRPr="00653748">
        <w:rPr>
          <w:rFonts w:asciiTheme="minorHAnsi" w:hAnsiTheme="minorHAnsi"/>
          <w:sz w:val="18"/>
          <w:szCs w:val="18"/>
        </w:rPr>
        <w:t>Kryuchkov</w:t>
      </w:r>
      <w:proofErr w:type="spellEnd"/>
      <w:r w:rsidRPr="00653748">
        <w:rPr>
          <w:rFonts w:asciiTheme="minorHAnsi" w:hAnsiTheme="minorHAnsi"/>
          <w:sz w:val="18"/>
          <w:szCs w:val="18"/>
        </w:rPr>
        <w:t xml:space="preserve">, Y. </w:t>
      </w:r>
      <w:proofErr w:type="spellStart"/>
      <w:r w:rsidRPr="00653748">
        <w:rPr>
          <w:rFonts w:asciiTheme="minorHAnsi" w:hAnsiTheme="minorHAnsi"/>
          <w:sz w:val="18"/>
          <w:szCs w:val="18"/>
        </w:rPr>
        <w:t>Lopatina</w:t>
      </w:r>
      <w:proofErr w:type="spellEnd"/>
      <w:r w:rsidRPr="00653748">
        <w:rPr>
          <w:rFonts w:asciiTheme="minorHAnsi" w:hAnsiTheme="minorHAnsi"/>
          <w:sz w:val="18"/>
          <w:szCs w:val="18"/>
        </w:rPr>
        <w:t xml:space="preserve">, V. L. </w:t>
      </w:r>
      <w:proofErr w:type="spellStart"/>
      <w:r w:rsidRPr="00653748">
        <w:rPr>
          <w:rFonts w:asciiTheme="minorHAnsi" w:hAnsiTheme="minorHAnsi"/>
          <w:sz w:val="18"/>
          <w:szCs w:val="18"/>
        </w:rPr>
        <w:t>Katanaev</w:t>
      </w:r>
      <w:proofErr w:type="spellEnd"/>
      <w:r w:rsidRPr="00653748">
        <w:rPr>
          <w:rFonts w:asciiTheme="minorHAnsi" w:hAnsiTheme="minorHAnsi"/>
          <w:sz w:val="18"/>
          <w:szCs w:val="18"/>
        </w:rPr>
        <w:t xml:space="preserve">, </w:t>
      </w:r>
      <w:r w:rsidR="003254DC" w:rsidRPr="003254DC">
        <w:rPr>
          <w:rFonts w:asciiTheme="minorHAnsi" w:hAnsiTheme="minorHAnsi"/>
          <w:i/>
          <w:sz w:val="18"/>
          <w:szCs w:val="18"/>
        </w:rPr>
        <w:t xml:space="preserve">Diverse Set of Turing </w:t>
      </w:r>
      <w:proofErr w:type="spellStart"/>
      <w:r w:rsidR="003254DC" w:rsidRPr="003254DC">
        <w:rPr>
          <w:rFonts w:asciiTheme="minorHAnsi" w:hAnsiTheme="minorHAnsi"/>
          <w:i/>
          <w:sz w:val="18"/>
          <w:szCs w:val="18"/>
        </w:rPr>
        <w:t>Nanopatterns</w:t>
      </w:r>
      <w:proofErr w:type="spellEnd"/>
      <w:r w:rsidR="003254DC" w:rsidRPr="003254DC">
        <w:rPr>
          <w:rFonts w:asciiTheme="minorHAnsi" w:hAnsiTheme="minorHAnsi"/>
          <w:i/>
          <w:sz w:val="18"/>
          <w:szCs w:val="18"/>
        </w:rPr>
        <w:t xml:space="preserve"> Coat </w:t>
      </w:r>
      <w:proofErr w:type="spellStart"/>
      <w:r w:rsidR="003254DC" w:rsidRPr="003254DC">
        <w:rPr>
          <w:rFonts w:asciiTheme="minorHAnsi" w:hAnsiTheme="minorHAnsi"/>
          <w:i/>
          <w:sz w:val="18"/>
          <w:szCs w:val="18"/>
        </w:rPr>
        <w:t>Corneae</w:t>
      </w:r>
      <w:proofErr w:type="spellEnd"/>
      <w:r w:rsidR="003254DC" w:rsidRPr="003254DC">
        <w:rPr>
          <w:rFonts w:asciiTheme="minorHAnsi" w:hAnsiTheme="minorHAnsi"/>
          <w:i/>
          <w:sz w:val="18"/>
          <w:szCs w:val="18"/>
        </w:rPr>
        <w:t xml:space="preserve"> Across Insect Lineages</w:t>
      </w:r>
      <w:r w:rsidR="003254DC">
        <w:rPr>
          <w:rFonts w:asciiTheme="minorHAnsi" w:hAnsiTheme="minorHAnsi"/>
          <w:i/>
          <w:sz w:val="18"/>
          <w:szCs w:val="18"/>
        </w:rPr>
        <w:t xml:space="preserve">, </w:t>
      </w:r>
      <w:r w:rsidRPr="00653748">
        <w:rPr>
          <w:rFonts w:asciiTheme="minorHAnsi" w:hAnsiTheme="minorHAnsi"/>
          <w:i/>
          <w:sz w:val="18"/>
          <w:szCs w:val="18"/>
        </w:rPr>
        <w:t xml:space="preserve">Proc. Natl. Acad. Sci. U. S. A. </w:t>
      </w:r>
      <w:r w:rsidRPr="00653748">
        <w:rPr>
          <w:rFonts w:asciiTheme="minorHAnsi" w:hAnsiTheme="minorHAnsi"/>
          <w:b/>
          <w:sz w:val="18"/>
          <w:szCs w:val="18"/>
        </w:rPr>
        <w:t>112</w:t>
      </w:r>
      <w:r w:rsidRPr="00653748">
        <w:rPr>
          <w:rFonts w:asciiTheme="minorHAnsi" w:hAnsiTheme="minorHAnsi"/>
          <w:sz w:val="18"/>
          <w:szCs w:val="18"/>
        </w:rPr>
        <w:t>, 10750 (2015).</w:t>
      </w:r>
    </w:p>
    <w:p w:rsidR="00AE3E37" w:rsidRPr="008756E6" w:rsidRDefault="00AE3E37" w:rsidP="00136116">
      <w:pPr>
        <w:tabs>
          <w:tab w:val="left" w:pos="384"/>
        </w:tabs>
        <w:spacing w:before="240"/>
        <w:ind w:right="117"/>
      </w:pP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BodyText"/>
        <w:rPr>
          <w:rFonts w:ascii="Calibri"/>
          <w:sz w:val="20"/>
        </w:rPr>
      </w:pPr>
    </w:p>
    <w:p w:rsidR="00AE3E37" w:rsidRDefault="00A34F62">
      <w:pPr>
        <w:pStyle w:val="BodyText"/>
        <w:spacing w:line="40" w:lineRule="exact"/>
        <w:ind w:left="2202"/>
        <w:rPr>
          <w:rFonts w:ascii="Calibri"/>
          <w:sz w:val="4"/>
        </w:rPr>
      </w:pPr>
      <w:r w:rsidRPr="00A34F62">
        <w:rPr>
          <w:rFonts w:ascii="Calibri"/>
          <w:noProof/>
          <w:sz w:val="4"/>
        </w:rPr>
      </w:r>
      <w:r>
        <w:rPr>
          <w:rFonts w:ascii="Calibri"/>
          <w:noProof/>
          <w:sz w:val="4"/>
        </w:rPr>
        <w:pict>
          <v:group id="Group 4" o:spid="_x0000_s1026" style="width:313.05pt;height:2pt;mso-position-horizontal-relative:char;mso-position-vertical-relative:line" coordsize="6261,40">
            <v:line id="Line 5" o:spid="_x0000_s1027" style="position:absolute;visibility:visibl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wrap type="none"/>
            <w10:anchorlock/>
          </v:group>
        </w:pict>
      </w:r>
    </w:p>
    <w:p w:rsidR="00781DF4" w:rsidRDefault="00781DF4" w:rsidP="00404E5B">
      <w:pPr>
        <w:spacing w:before="92"/>
        <w:ind w:right="4234"/>
        <w:rPr>
          <w:noProof/>
        </w:rPr>
      </w:pPr>
      <w:r>
        <w:rPr>
          <w:noProof/>
          <w:lang w:val="en-CA" w:eastAsia="en-CA"/>
        </w:rPr>
        <w:drawing>
          <wp:anchor distT="0" distB="0" distL="114300" distR="114300" simplePos="0" relativeHeight="251658240" behindDoc="1" locked="1" layoutInCell="1" allowOverlap="1">
            <wp:simplePos x="0" y="0"/>
            <wp:positionH relativeFrom="column">
              <wp:posOffset>451485</wp:posOffset>
            </wp:positionH>
            <wp:positionV relativeFrom="paragraph">
              <wp:posOffset>35560</wp:posOffset>
            </wp:positionV>
            <wp:extent cx="821690" cy="614045"/>
            <wp:effectExtent l="19050" t="0" r="0" b="0"/>
            <wp:wrapTight wrapText="bothSides">
              <wp:wrapPolygon edited="0">
                <wp:start x="-501" y="0"/>
                <wp:lineTo x="-501" y="20774"/>
                <wp:lineTo x="21533" y="20774"/>
                <wp:lineTo x="21533" y="0"/>
                <wp:lineTo x="-501" y="0"/>
              </wp:wrapPolygon>
            </wp:wrapTight>
            <wp:docPr id="3" name="Picture 2" descr="ERB Pic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ERB Picture"/>
                    <pic:cNvPicPr>
                      <a:picLocks noChangeAspect="1" noChangeArrowheads="1"/>
                    </pic:cNvPicPr>
                  </pic:nvPicPr>
                  <pic:blipFill>
                    <a:blip r:embed="rId10" cstate="print"/>
                    <a:srcRect/>
                    <a:stretch>
                      <a:fillRect/>
                    </a:stretch>
                  </pic:blipFill>
                  <pic:spPr bwMode="auto">
                    <a:xfrm>
                      <a:off x="0" y="0"/>
                      <a:ext cx="821690" cy="614045"/>
                    </a:xfrm>
                    <a:prstGeom prst="rect">
                      <a:avLst/>
                    </a:prstGeom>
                    <a:noFill/>
                    <a:ln w="9525">
                      <a:noFill/>
                      <a:miter lim="800000"/>
                      <a:headEnd/>
                      <a:tailEnd/>
                    </a:ln>
                  </pic:spPr>
                </pic:pic>
              </a:graphicData>
            </a:graphic>
          </wp:anchor>
        </w:drawing>
      </w:r>
      <w:r w:rsidR="008756E6">
        <w:rPr>
          <w:noProof/>
        </w:rPr>
        <w:t xml:space="preserve">         </w:t>
      </w:r>
    </w:p>
    <w:p w:rsidR="00781DF4" w:rsidRDefault="00781DF4" w:rsidP="00404E5B">
      <w:pPr>
        <w:spacing w:before="92"/>
        <w:ind w:right="4234"/>
        <w:rPr>
          <w:noProof/>
        </w:rPr>
      </w:pPr>
    </w:p>
    <w:p w:rsidR="00781DF4" w:rsidRPr="00781DF4" w:rsidRDefault="008756E6" w:rsidP="00781DF4">
      <w:pPr>
        <w:rPr>
          <w:rFonts w:eastAsia="MS PGothic" w:hAnsi="Arial"/>
          <w:color w:val="000000"/>
        </w:rPr>
      </w:pPr>
      <w:r>
        <w:rPr>
          <w:noProof/>
        </w:rPr>
        <w:t xml:space="preserve">     </w:t>
      </w:r>
      <w:r w:rsidR="00781DF4">
        <w:rPr>
          <w:b/>
          <w:sz w:val="28"/>
          <w:szCs w:val="28"/>
        </w:rPr>
        <w:t xml:space="preserve">                                      </w:t>
      </w:r>
    </w:p>
    <w:p w:rsidR="00781DF4" w:rsidRPr="004B4EAA" w:rsidRDefault="00781DF4" w:rsidP="00781DF4">
      <w:pPr>
        <w:jc w:val="both"/>
        <w:rPr>
          <w:rFonts w:ascii="Arial" w:hAnsi="Arial" w:cs="Arial"/>
          <w:b/>
        </w:rPr>
      </w:pPr>
      <w:r w:rsidRPr="004B4EAA">
        <w:rPr>
          <w:rFonts w:ascii="Arial" w:hAnsi="Arial" w:cs="Arial"/>
          <w:b/>
        </w:rPr>
        <w:t>Biography:</w:t>
      </w:r>
    </w:p>
    <w:p w:rsidR="00781DF4" w:rsidRPr="00781DF4" w:rsidRDefault="00781DF4" w:rsidP="00781DF4">
      <w:pPr>
        <w:jc w:val="both"/>
        <w:rPr>
          <w:rFonts w:ascii="Arial" w:hAnsi="Arial" w:cs="Arial"/>
          <w:b/>
          <w:sz w:val="14"/>
          <w:szCs w:val="14"/>
        </w:rPr>
      </w:pPr>
    </w:p>
    <w:p w:rsidR="00781DF4" w:rsidRPr="00781DF4" w:rsidRDefault="00781DF4" w:rsidP="00781DF4">
      <w:pPr>
        <w:jc w:val="both"/>
        <w:rPr>
          <w:rFonts w:ascii="Arial" w:hAnsi="Arial" w:cs="Arial"/>
          <w:sz w:val="14"/>
          <w:szCs w:val="14"/>
        </w:rPr>
      </w:pPr>
      <w:r w:rsidRPr="00781DF4">
        <w:rPr>
          <w:rFonts w:ascii="Arial" w:hAnsi="Arial" w:cs="Arial"/>
          <w:b/>
          <w:sz w:val="14"/>
          <w:szCs w:val="14"/>
        </w:rPr>
        <w:t>Dr. Erb</w:t>
      </w:r>
      <w:r w:rsidRPr="00781DF4">
        <w:rPr>
          <w:rFonts w:ascii="Arial" w:hAnsi="Arial" w:cs="Arial"/>
          <w:sz w:val="14"/>
          <w:szCs w:val="14"/>
        </w:rPr>
        <w:t xml:space="preserve"> received his Ph.D. (1980) in Materials Science from the University of the Saarland (Germany). He currently is a Professor in Materials Science and Engineering at the University of Toronto. He is named as inventor on 18 patents related to the synthesis of nanostructured materials by electrochemical methods, and has authored about 250 scientific publications in the field of nanomaterials. Professor Erb and his research team were the first to synthesize fully dense nanostructured materials in 1985, and developed numerous industrial applications for these materials with various companies. More recently, Professor </w:t>
      </w:r>
      <w:proofErr w:type="spellStart"/>
      <w:r w:rsidRPr="00781DF4">
        <w:rPr>
          <w:rFonts w:ascii="Arial" w:hAnsi="Arial" w:cs="Arial"/>
          <w:sz w:val="14"/>
          <w:szCs w:val="14"/>
        </w:rPr>
        <w:t>Erb’s</w:t>
      </w:r>
      <w:proofErr w:type="spellEnd"/>
      <w:r w:rsidRPr="00781DF4">
        <w:rPr>
          <w:rFonts w:ascii="Arial" w:hAnsi="Arial" w:cs="Arial"/>
          <w:sz w:val="14"/>
          <w:szCs w:val="14"/>
        </w:rPr>
        <w:t xml:space="preserve"> research has been broadened to include bio-inspired nanostructures. </w:t>
      </w:r>
    </w:p>
    <w:p w:rsidR="00781DF4" w:rsidRPr="00781DF4" w:rsidRDefault="00781DF4" w:rsidP="00781DF4">
      <w:pPr>
        <w:jc w:val="both"/>
        <w:rPr>
          <w:rFonts w:ascii="Arial" w:hAnsi="Arial" w:cs="Arial"/>
          <w:sz w:val="14"/>
          <w:szCs w:val="14"/>
        </w:rPr>
      </w:pPr>
    </w:p>
    <w:p w:rsidR="00AE3E37" w:rsidRPr="004603B4" w:rsidRDefault="00781DF4" w:rsidP="00781DF4">
      <w:pPr>
        <w:jc w:val="center"/>
        <w:rPr>
          <w:rFonts w:ascii="Minion Pro"/>
          <w:sz w:val="14"/>
          <w:szCs w:val="14"/>
        </w:rPr>
        <w:sectPr w:rsidR="00AE3E37" w:rsidRPr="004603B4">
          <w:type w:val="continuous"/>
          <w:pgSz w:w="11910" w:h="16840"/>
          <w:pgMar w:top="1740" w:right="600" w:bottom="840" w:left="620" w:header="720" w:footer="720" w:gutter="0"/>
          <w:cols w:space="720"/>
        </w:sectPr>
      </w:pPr>
      <w:r w:rsidRPr="004603B4">
        <w:rPr>
          <w:rFonts w:ascii="Arial" w:hAnsi="Arial" w:cs="Arial"/>
          <w:sz w:val="14"/>
          <w:szCs w:val="14"/>
          <w:lang w:val="en-NZ"/>
        </w:rPr>
        <w:t xml:space="preserve">Email: </w:t>
      </w:r>
      <w:hyperlink r:id="rId11" w:history="1">
        <w:proofErr w:type="spellStart"/>
        <w:r w:rsidRPr="004603B4">
          <w:rPr>
            <w:rStyle w:val="Hyperlink"/>
            <w:rFonts w:ascii="Arial" w:hAnsi="Arial" w:cs="Arial"/>
            <w:sz w:val="14"/>
            <w:szCs w:val="14"/>
            <w:lang w:val="en-NZ"/>
          </w:rPr>
          <w:t>uwe.erb@utoronto.ca</w:t>
        </w:r>
        <w:proofErr w:type="spellEnd"/>
      </w:hyperlink>
    </w:p>
    <w:p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374D9" w:rsidRDefault="005374D9">
      <w:r>
        <w:separator/>
      </w:r>
    </w:p>
  </w:endnote>
  <w:endnote w:type="continuationSeparator" w:id="0">
    <w:p w:rsidR="005374D9" w:rsidRDefault="005374D9">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MS PGothic">
    <w:panose1 w:val="020B0600070205080204"/>
    <w:charset w:val="80"/>
    <w:family w:val="swiss"/>
    <w:pitch w:val="variable"/>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1A0E" w:rsidRDefault="00A34F62">
    <w:pPr>
      <w:pStyle w:val="BodyText"/>
      <w:spacing w:line="14" w:lineRule="auto"/>
      <w:rPr>
        <w:sz w:val="20"/>
      </w:rPr>
    </w:pPr>
    <w:r w:rsidRPr="00A34F62">
      <w:rPr>
        <w:noProof/>
      </w:rPr>
      <w:pict>
        <v:shapetype id="_x0000_t202" coordsize="21600,21600" o:spt="202" path="m,l,21600r21600,l21600,xe">
          <v:stroke joinstyle="miter"/>
          <v:path gradientshapeok="t" o:connecttype="rect"/>
        </v:shapetype>
        <v:shape id="Text Box 2" o:spid="_x0000_s4098" type="#_x0000_t202" style="position:absolute;margin-left:252.1pt;margin-top:799.05pt;width:91.9pt;height:24.95pt;z-index:-4528;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191A0E" w:rsidRPr="005B3A56" w:rsidRDefault="00191A0E">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191A0E" w:rsidRPr="005B3A56" w:rsidRDefault="00191A0E">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w:r>
    <w:r w:rsidRPr="00A34F62">
      <w:rPr>
        <w:noProof/>
      </w:rPr>
      <w:pict>
        <v:shape id="Text Box 1" o:spid="_x0000_s4097" type="#_x0000_t202" style="position:absolute;margin-left:468.9pt;margin-top:798.8pt;width:91.4pt;height:26.05pt;z-index:-4504;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191A0E" w:rsidRPr="005B3A56" w:rsidRDefault="00191A0E" w:rsidP="00781DF4">
                <w:pPr>
                  <w:spacing w:line="184" w:lineRule="exact"/>
                  <w:ind w:right="18"/>
                  <w:jc w:val="right"/>
                  <w:rPr>
                    <w:rFonts w:ascii="Minion Pro"/>
                    <w:color w:val="FFFFFF" w:themeColor="background1"/>
                    <w:sz w:val="16"/>
                  </w:rPr>
                </w:pPr>
                <w:r w:rsidRPr="005B3A56">
                  <w:rPr>
                    <w:rFonts w:ascii="Arial"/>
                    <w:color w:val="FFFFFF" w:themeColor="background1"/>
                    <w:sz w:val="16"/>
                  </w:rPr>
                  <w:t xml:space="preserve">Volume 5, </w:t>
                </w:r>
                <w:r>
                  <w:rPr>
                    <w:rFonts w:ascii="Arial"/>
                    <w:color w:val="FFFFFF" w:themeColor="background1"/>
                    <w:sz w:val="16"/>
                  </w:rPr>
                  <w:t xml:space="preserve"> </w:t>
                </w:r>
              </w:p>
            </w:txbxContent>
          </v:textbox>
          <w10:wrap anchorx="page" anchory="page"/>
        </v:shape>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374D9" w:rsidRDefault="005374D9">
      <w:r>
        <w:separator/>
      </w:r>
    </w:p>
  </w:footnote>
  <w:footnote w:type="continuationSeparator" w:id="0">
    <w:p w:rsidR="005374D9" w:rsidRDefault="005374D9">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1A0E" w:rsidRDefault="00A34F62">
    <w:pPr>
      <w:pStyle w:val="BodyText"/>
      <w:spacing w:line="14" w:lineRule="auto"/>
      <w:rPr>
        <w:sz w:val="20"/>
      </w:rPr>
    </w:pPr>
    <w:r w:rsidRPr="00A34F62">
      <w:rPr>
        <w:noProof/>
      </w:rPr>
      <w:pict>
        <v:shapetype id="_x0000_t202" coordsize="21600,21600" o:spt="202" path="m,l,21600r21600,l21600,xe">
          <v:stroke joinstyle="miter"/>
          <v:path gradientshapeok="t" o:connecttype="rect"/>
        </v:shapetype>
        <v:shape id="Text Box 4" o:spid="_x0000_s4100" type="#_x0000_t202" style="position:absolute;margin-left:35pt;margin-top:48.3pt;width:515.95pt;height:40.1pt;z-index:-4576;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191A0E" w:rsidRPr="005B3A56" w:rsidRDefault="00191A0E">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191A0E" w:rsidRPr="005B3A56" w:rsidRDefault="00191A0E">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4FD4373E"/>
    <w:multiLevelType w:val="hybridMultilevel"/>
    <w:tmpl w:val="31028360"/>
    <w:lvl w:ilvl="0" w:tplc="1D70AF50">
      <w:start w:val="1"/>
      <w:numFmt w:val="decimal"/>
      <w:pStyle w:val="AbstractBookreference"/>
      <w:lvlText w:val="%1."/>
      <w:lvlJc w:val="left"/>
      <w:pPr>
        <w:tabs>
          <w:tab w:val="num" w:pos="284"/>
        </w:tabs>
        <w:ind w:left="284" w:hanging="284"/>
      </w:pPr>
      <w:rPr>
        <w:rFonts w:hint="default"/>
      </w:rPr>
    </w:lvl>
    <w:lvl w:ilvl="1" w:tplc="04190019" w:tentative="1">
      <w:start w:val="1"/>
      <w:numFmt w:val="lowerLetter"/>
      <w:lvlText w:val="%2."/>
      <w:lvlJc w:val="left"/>
      <w:pPr>
        <w:tabs>
          <w:tab w:val="num" w:pos="1789"/>
        </w:tabs>
        <w:ind w:left="1789" w:hanging="360"/>
      </w:pPr>
    </w:lvl>
    <w:lvl w:ilvl="2" w:tplc="0419001B" w:tentative="1">
      <w:start w:val="1"/>
      <w:numFmt w:val="lowerRoman"/>
      <w:lvlText w:val="%3."/>
      <w:lvlJc w:val="right"/>
      <w:pPr>
        <w:tabs>
          <w:tab w:val="num" w:pos="2509"/>
        </w:tabs>
        <w:ind w:left="2509" w:hanging="180"/>
      </w:pPr>
    </w:lvl>
    <w:lvl w:ilvl="3" w:tplc="0419000F" w:tentative="1">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abstractNum w:abstractNumId="2">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2"/>
  </w:num>
  <w:num w:numId="3">
    <w:abstractNumId w:val="0"/>
    <w:lvlOverride w:ilvl="0">
      <w:startOverride w:val="1"/>
    </w:lvlOverride>
    <w:lvlOverride w:ilvl="1"/>
    <w:lvlOverride w:ilvl="2"/>
    <w:lvlOverride w:ilvl="3"/>
    <w:lvlOverride w:ilvl="4"/>
    <w:lvlOverride w:ilvl="5"/>
    <w:lvlOverride w:ilvl="6"/>
    <w:lvlOverride w:ilvl="7"/>
    <w:lvlOverride w:ilvl="8"/>
  </w:num>
  <w:num w:numId="4">
    <w:abstractNumId w:val="1"/>
    <w:lvlOverride w:ilvl="0">
      <w:startOverride w:val="1"/>
    </w:lvlOverride>
  </w:num>
  <w:num w:numId="5">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220"/>
  <w:proofState w:spelling="clean" w:grammar="clean"/>
  <w:defaultTabStop w:val="720"/>
  <w:drawingGridHorizontalSpacing w:val="110"/>
  <w:displayHorizontalDrawingGridEvery w:val="2"/>
  <w:characterSpacingControl w:val="doNotCompress"/>
  <w:hdrShapeDefaults>
    <o:shapedefaults v:ext="edit" spidmax="8194"/>
    <o:shapelayout v:ext="edit">
      <o:idmap v:ext="edit" data="4"/>
    </o:shapelayout>
  </w:hdrShapeDefaults>
  <w:footnotePr>
    <w:footnote w:id="-1"/>
    <w:footnote w:id="0"/>
  </w:footnotePr>
  <w:endnotePr>
    <w:endnote w:id="-1"/>
    <w:endnote w:id="0"/>
  </w:endnotePr>
  <w:compat>
    <w:ulTrailSpace/>
  </w:compat>
  <w:rsids>
    <w:rsidRoot w:val="00AE3E37"/>
    <w:rsid w:val="00052497"/>
    <w:rsid w:val="000E2911"/>
    <w:rsid w:val="001263DF"/>
    <w:rsid w:val="001321F4"/>
    <w:rsid w:val="00132D00"/>
    <w:rsid w:val="00136116"/>
    <w:rsid w:val="001868AC"/>
    <w:rsid w:val="00191A0E"/>
    <w:rsid w:val="001B2636"/>
    <w:rsid w:val="001E487E"/>
    <w:rsid w:val="00292ED9"/>
    <w:rsid w:val="003254DC"/>
    <w:rsid w:val="00404E5B"/>
    <w:rsid w:val="00414F7B"/>
    <w:rsid w:val="00422D46"/>
    <w:rsid w:val="004355DC"/>
    <w:rsid w:val="004603B4"/>
    <w:rsid w:val="004749B4"/>
    <w:rsid w:val="00494130"/>
    <w:rsid w:val="004B4EAA"/>
    <w:rsid w:val="004F3523"/>
    <w:rsid w:val="005374D9"/>
    <w:rsid w:val="005973B9"/>
    <w:rsid w:val="005B3A56"/>
    <w:rsid w:val="006060CE"/>
    <w:rsid w:val="0063497F"/>
    <w:rsid w:val="00653748"/>
    <w:rsid w:val="0068780A"/>
    <w:rsid w:val="00781DF4"/>
    <w:rsid w:val="00873DF0"/>
    <w:rsid w:val="008756E6"/>
    <w:rsid w:val="00916585"/>
    <w:rsid w:val="009B2D44"/>
    <w:rsid w:val="00A07E82"/>
    <w:rsid w:val="00A10A10"/>
    <w:rsid w:val="00A34F62"/>
    <w:rsid w:val="00A9710C"/>
    <w:rsid w:val="00AE3E37"/>
    <w:rsid w:val="00B21A57"/>
    <w:rsid w:val="00B267DD"/>
    <w:rsid w:val="00B47E41"/>
    <w:rsid w:val="00C33602"/>
    <w:rsid w:val="00C45C08"/>
    <w:rsid w:val="00CD6F55"/>
    <w:rsid w:val="00D234D4"/>
    <w:rsid w:val="00DE3104"/>
    <w:rsid w:val="00EE61A4"/>
    <w:rsid w:val="00F0749C"/>
    <w:rsid w:val="00F32FCA"/>
    <w:rsid w:val="00F72EEA"/>
    <w:rsid w:val="00F84CAE"/>
    <w:rsid w:val="00FB70DE"/>
  </w:rsids>
  <m:mathPr>
    <m:mathFont m:val="Cambria Math"/>
    <m:brkBin m:val="before"/>
    <m:brkBinSub m:val="--"/>
    <m:smallFrac/>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paragraph" w:customStyle="1" w:styleId="AbstractBooktext">
    <w:name w:val="AbstractBook text"/>
    <w:basedOn w:val="Normal"/>
    <w:rsid w:val="001321F4"/>
    <w:pPr>
      <w:widowControl/>
      <w:spacing w:after="60"/>
      <w:ind w:firstLine="539"/>
      <w:jc w:val="both"/>
    </w:pPr>
    <w:rPr>
      <w:rFonts w:ascii="Times New Roman" w:eastAsia="SimSun" w:hAnsi="Times New Roman" w:cs="Times New Roman"/>
      <w:lang w:eastAsia="ru-RU"/>
    </w:rPr>
  </w:style>
  <w:style w:type="paragraph" w:customStyle="1" w:styleId="AbstractBooktitle">
    <w:name w:val="AbstractBook title"/>
    <w:basedOn w:val="Heading1"/>
    <w:next w:val="Normal"/>
    <w:rsid w:val="001321F4"/>
    <w:pPr>
      <w:keepNext/>
      <w:widowControl/>
      <w:spacing w:before="0" w:after="120" w:line="240" w:lineRule="auto"/>
      <w:ind w:left="0"/>
    </w:pPr>
    <w:rPr>
      <w:rFonts w:ascii="Times New Roman" w:eastAsia="SimSun" w:hAnsi="Times New Roman" w:cs="Arial"/>
      <w:kern w:val="32"/>
      <w:sz w:val="22"/>
      <w:szCs w:val="22"/>
      <w:lang w:eastAsia="ru-RU"/>
    </w:rPr>
  </w:style>
  <w:style w:type="character" w:customStyle="1" w:styleId="address1">
    <w:name w:val="address1"/>
    <w:rsid w:val="001321F4"/>
    <w:rPr>
      <w:rFonts w:ascii="Times New Roman" w:hAnsi="Times New Roman" w:cs="Times New Roman" w:hint="default"/>
      <w:sz w:val="21"/>
      <w:szCs w:val="21"/>
    </w:rPr>
  </w:style>
  <w:style w:type="paragraph" w:customStyle="1" w:styleId="AbstractBookreference">
    <w:name w:val="AbstractBook reference"/>
    <w:basedOn w:val="Normal"/>
    <w:rsid w:val="00653748"/>
    <w:pPr>
      <w:widowControl/>
      <w:numPr>
        <w:numId w:val="4"/>
      </w:numPr>
      <w:jc w:val="both"/>
    </w:pPr>
    <w:rPr>
      <w:rFonts w:ascii="Times New Roman" w:eastAsia="SimSun" w:hAnsi="Times New Roman" w:cs="Times New Roman"/>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r="http://schemas.openxmlformats.org/officeDocument/2006/relationships" xmlns:w="http://schemas.openxmlformats.org/wordprocessingml/2006/main">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 w:id="172814751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uwe.erb@utoronto.ca" TargetMode="External"/><Relationship Id="rId5" Type="http://schemas.openxmlformats.org/officeDocument/2006/relationships/footnotes" Target="footnotes.xml"/><Relationship Id="rId10" Type="http://schemas.openxmlformats.org/officeDocument/2006/relationships/image" Target="media/image2.jpeg"/><Relationship Id="rId4" Type="http://schemas.openxmlformats.org/officeDocument/2006/relationships/webSettings" Target="webSettings.xml"/><Relationship Id="rId9" Type="http://schemas.openxmlformats.org/officeDocument/2006/relationships/image" Target="media/image1.png"/><Relationship Id="rId14"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75</TotalTime>
  <Pages>1</Pages>
  <Words>611</Words>
  <Characters>3484</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4087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Erb</cp:lastModifiedBy>
  <cp:revision>20</cp:revision>
  <cp:lastPrinted>2017-02-23T17:38:00Z</cp:lastPrinted>
  <dcterms:created xsi:type="dcterms:W3CDTF">2017-02-21T19:54:00Z</dcterms:created>
  <dcterms:modified xsi:type="dcterms:W3CDTF">2017-02-23T17:38:00Z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