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135B4D" w:rsidP="00377D8E">
      <w:pPr>
        <w:pStyle w:val="Heading1"/>
        <w:spacing w:before="170"/>
        <w:ind w:left="142"/>
      </w:pPr>
      <w:r>
        <w:rPr>
          <w:color w:val="337AB7"/>
        </w:rPr>
        <w:t>Biogenic synthesis of antioxidant, shape selective gold nanomaterials mediated by high altitude lichens</w:t>
      </w:r>
    </w:p>
    <w:p w:rsidR="005973B9" w:rsidRDefault="00135B4D" w:rsidP="000D7EB5">
      <w:pPr>
        <w:pStyle w:val="BodyText"/>
        <w:spacing w:before="73" w:line="198" w:lineRule="exact"/>
        <w:ind w:left="142" w:right="5445"/>
        <w:jc w:val="both"/>
        <w:rPr>
          <w:rFonts w:ascii="Arial"/>
        </w:rPr>
      </w:pPr>
      <w:r w:rsidRPr="00CC092A">
        <w:rPr>
          <w:rFonts w:ascii="Arial"/>
          <w:u w:val="single"/>
        </w:rPr>
        <w:t>Rupam Debnath</w:t>
      </w:r>
      <w:r w:rsidR="00810895" w:rsidRPr="00CC092A">
        <w:rPr>
          <w:rFonts w:ascii="Arial"/>
          <w:u w:val="single"/>
          <w:vertAlign w:val="superscript"/>
        </w:rPr>
        <w:t>1</w:t>
      </w:r>
      <w:r w:rsidR="00810895" w:rsidRPr="00810895">
        <w:rPr>
          <w:rFonts w:ascii="Arial"/>
          <w:vertAlign w:val="superscript"/>
        </w:rPr>
        <w:t>*</w:t>
      </w:r>
      <w:r w:rsidR="00810895">
        <w:rPr>
          <w:rFonts w:ascii="Arial"/>
        </w:rPr>
        <w:t>,</w:t>
      </w:r>
      <w:r>
        <w:rPr>
          <w:rFonts w:ascii="Arial"/>
        </w:rPr>
        <w:t xml:space="preserve"> Debraj Dhar Purkayastha</w:t>
      </w:r>
      <w:r w:rsidR="00810895" w:rsidRPr="00810895">
        <w:rPr>
          <w:rFonts w:ascii="Arial"/>
          <w:vertAlign w:val="superscript"/>
        </w:rPr>
        <w:t>2</w:t>
      </w:r>
      <w:r>
        <w:rPr>
          <w:rFonts w:ascii="Arial"/>
        </w:rPr>
        <w:t>, Subhenjit Hazra</w:t>
      </w:r>
      <w:r w:rsidR="00810895" w:rsidRPr="00810895">
        <w:rPr>
          <w:rFonts w:ascii="Arial"/>
          <w:vertAlign w:val="superscript"/>
        </w:rPr>
        <w:t>3</w:t>
      </w:r>
      <w:r>
        <w:rPr>
          <w:rFonts w:ascii="Arial"/>
        </w:rPr>
        <w:t>, Narendra Nath Ghosh</w:t>
      </w:r>
      <w:r w:rsidR="00810895" w:rsidRPr="00810895">
        <w:rPr>
          <w:rFonts w:ascii="Arial"/>
          <w:vertAlign w:val="superscript"/>
        </w:rPr>
        <w:t>3</w:t>
      </w:r>
      <w:r>
        <w:rPr>
          <w:rFonts w:ascii="Arial"/>
        </w:rPr>
        <w:t>, Chira Ranjan Bhattacharjee</w:t>
      </w:r>
      <w:r w:rsidR="00810895" w:rsidRPr="00810895">
        <w:rPr>
          <w:rFonts w:ascii="Arial"/>
          <w:vertAlign w:val="superscript"/>
        </w:rPr>
        <w:t>2</w:t>
      </w:r>
      <w:r>
        <w:rPr>
          <w:rFonts w:ascii="Arial"/>
        </w:rPr>
        <w:t xml:space="preserve"> and Jayashree Rout</w:t>
      </w:r>
      <w:r w:rsidR="00810895" w:rsidRPr="00810895">
        <w:rPr>
          <w:rFonts w:ascii="Arial"/>
          <w:vertAlign w:val="superscript"/>
        </w:rPr>
        <w:t>1</w:t>
      </w:r>
    </w:p>
    <w:p w:rsidR="00135B4D" w:rsidRDefault="00810895" w:rsidP="000D7EB5">
      <w:pPr>
        <w:pStyle w:val="BodyText"/>
        <w:spacing w:before="73" w:line="198" w:lineRule="exact"/>
        <w:ind w:left="142" w:right="5987"/>
        <w:jc w:val="both"/>
        <w:rPr>
          <w:rFonts w:ascii="Arial"/>
          <w:sz w:val="16"/>
          <w:szCs w:val="16"/>
          <w:lang w:val="en-IN"/>
        </w:rPr>
      </w:pPr>
      <w:r w:rsidRPr="00810895">
        <w:rPr>
          <w:rFonts w:ascii="Arial"/>
          <w:sz w:val="16"/>
          <w:szCs w:val="16"/>
          <w:vertAlign w:val="superscript"/>
          <w:lang w:val="en-IN"/>
        </w:rPr>
        <w:t>1</w:t>
      </w:r>
      <w:r w:rsidR="00135B4D">
        <w:rPr>
          <w:rFonts w:ascii="Arial"/>
          <w:sz w:val="16"/>
          <w:szCs w:val="16"/>
          <w:lang w:val="en-IN"/>
        </w:rPr>
        <w:t>Department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of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Ecology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and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Environmental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Science,</w:t>
      </w:r>
      <w:r w:rsidR="00135B4D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Assam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Unive</w:t>
      </w:r>
      <w:r w:rsidR="00135B4D">
        <w:rPr>
          <w:rFonts w:ascii="Arial"/>
          <w:sz w:val="16"/>
          <w:szCs w:val="16"/>
          <w:lang w:val="en-IN"/>
        </w:rPr>
        <w:t>rsity,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>
        <w:rPr>
          <w:rFonts w:ascii="Arial"/>
          <w:sz w:val="16"/>
          <w:szCs w:val="16"/>
          <w:lang w:val="en-IN"/>
        </w:rPr>
        <w:t>Silchar</w:t>
      </w:r>
      <w:r w:rsidR="00166D37">
        <w:rPr>
          <w:rFonts w:ascii="Arial"/>
          <w:sz w:val="16"/>
          <w:szCs w:val="16"/>
          <w:lang w:val="en-IN"/>
        </w:rPr>
        <w:t xml:space="preserve">, </w:t>
      </w:r>
      <w:r w:rsidR="00135B4D">
        <w:rPr>
          <w:rFonts w:ascii="Arial"/>
          <w:sz w:val="16"/>
          <w:szCs w:val="16"/>
          <w:lang w:val="en-IN"/>
        </w:rPr>
        <w:t>788011,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>
        <w:rPr>
          <w:rFonts w:ascii="Arial"/>
          <w:sz w:val="16"/>
          <w:szCs w:val="16"/>
          <w:lang w:val="en-IN"/>
        </w:rPr>
        <w:t>Assam,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>
        <w:rPr>
          <w:rFonts w:ascii="Arial"/>
          <w:sz w:val="16"/>
          <w:szCs w:val="16"/>
          <w:lang w:val="en-IN"/>
        </w:rPr>
        <w:t>India</w:t>
      </w:r>
      <w:r w:rsidR="00135B4D" w:rsidRPr="00135B4D">
        <w:rPr>
          <w:rFonts w:ascii="Arial"/>
          <w:sz w:val="16"/>
          <w:szCs w:val="16"/>
          <w:lang w:val="en-IN"/>
        </w:rPr>
        <w:t xml:space="preserve"> </w:t>
      </w:r>
    </w:p>
    <w:p w:rsidR="00135B4D" w:rsidRDefault="00810895" w:rsidP="000D7EB5">
      <w:pPr>
        <w:pStyle w:val="BodyText"/>
        <w:spacing w:before="73" w:line="198" w:lineRule="exact"/>
        <w:ind w:left="142" w:right="5445"/>
        <w:jc w:val="both"/>
        <w:rPr>
          <w:rFonts w:ascii="Arial"/>
          <w:sz w:val="16"/>
          <w:szCs w:val="16"/>
          <w:lang w:val="en-IN"/>
        </w:rPr>
      </w:pPr>
      <w:r w:rsidRPr="00810895">
        <w:rPr>
          <w:rFonts w:ascii="Arial"/>
          <w:sz w:val="16"/>
          <w:szCs w:val="16"/>
          <w:vertAlign w:val="superscript"/>
          <w:lang w:val="en-IN"/>
        </w:rPr>
        <w:t>2</w:t>
      </w:r>
      <w:r w:rsidR="00135B4D">
        <w:rPr>
          <w:rFonts w:ascii="Arial"/>
          <w:sz w:val="16"/>
          <w:szCs w:val="16"/>
          <w:lang w:val="en-IN"/>
        </w:rPr>
        <w:t>Department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of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Chemistry,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Assam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University,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Silchar</w:t>
      </w:r>
      <w:r w:rsidR="00135B4D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788011,</w:t>
      </w:r>
      <w:r w:rsidR="00135B4D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Assam,</w:t>
      </w:r>
    </w:p>
    <w:p w:rsidR="00135B4D" w:rsidRDefault="00135B4D" w:rsidP="000D7EB5">
      <w:pPr>
        <w:pStyle w:val="BodyText"/>
        <w:spacing w:before="73" w:line="198" w:lineRule="exact"/>
        <w:ind w:left="142" w:right="5987"/>
        <w:jc w:val="both"/>
        <w:rPr>
          <w:rFonts w:ascii="Arial"/>
          <w:sz w:val="16"/>
          <w:szCs w:val="16"/>
          <w:lang w:val="en-IN"/>
        </w:rPr>
      </w:pPr>
      <w:r w:rsidRPr="00135B4D">
        <w:rPr>
          <w:rFonts w:ascii="Arial"/>
          <w:sz w:val="16"/>
          <w:szCs w:val="16"/>
          <w:lang w:val="en-IN"/>
        </w:rPr>
        <w:t xml:space="preserve">India </w:t>
      </w:r>
    </w:p>
    <w:p w:rsidR="00135B4D" w:rsidRPr="00135B4D" w:rsidRDefault="00810895" w:rsidP="000D7EB5">
      <w:pPr>
        <w:pStyle w:val="BodyText"/>
        <w:spacing w:before="73" w:line="198" w:lineRule="exact"/>
        <w:ind w:left="142" w:right="5987"/>
        <w:jc w:val="both"/>
        <w:rPr>
          <w:rFonts w:ascii="Arial"/>
          <w:sz w:val="16"/>
          <w:szCs w:val="16"/>
        </w:rPr>
      </w:pPr>
      <w:r w:rsidRPr="00810895">
        <w:rPr>
          <w:rFonts w:ascii="Arial"/>
          <w:sz w:val="16"/>
          <w:szCs w:val="16"/>
          <w:vertAlign w:val="superscript"/>
          <w:lang w:val="en-IN"/>
        </w:rPr>
        <w:t>3</w:t>
      </w:r>
      <w:r w:rsidR="00135B4D" w:rsidRPr="00135B4D">
        <w:rPr>
          <w:rFonts w:ascii="Arial"/>
          <w:sz w:val="16"/>
          <w:szCs w:val="16"/>
          <w:lang w:val="en-IN"/>
        </w:rPr>
        <w:t>Nano-Materials</w:t>
      </w:r>
      <w:r w:rsidR="00135B4D">
        <w:rPr>
          <w:rFonts w:ascii="Arial"/>
          <w:sz w:val="16"/>
          <w:szCs w:val="16"/>
          <w:lang w:val="en-IN"/>
        </w:rPr>
        <w:t xml:space="preserve"> Lab, Department of Chemistry, BITS </w:t>
      </w:r>
      <w:r w:rsidR="00135B4D" w:rsidRPr="00135B4D">
        <w:rPr>
          <w:rFonts w:ascii="Arial"/>
          <w:sz w:val="16"/>
          <w:szCs w:val="16"/>
          <w:lang w:val="en-IN"/>
        </w:rPr>
        <w:t>Pilani,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K.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K.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Birla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Goa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Campus,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Zuarinagar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403726,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Goa,</w:t>
      </w:r>
      <w:r w:rsidR="00166D37">
        <w:rPr>
          <w:rFonts w:ascii="Arial"/>
          <w:sz w:val="16"/>
          <w:szCs w:val="16"/>
          <w:lang w:val="en-IN"/>
        </w:rPr>
        <w:t xml:space="preserve"> </w:t>
      </w:r>
      <w:r w:rsidR="00135B4D" w:rsidRPr="00135B4D">
        <w:rPr>
          <w:rFonts w:ascii="Arial"/>
          <w:sz w:val="16"/>
          <w:szCs w:val="16"/>
          <w:lang w:val="en-IN"/>
        </w:rPr>
        <w:t>India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377D8E">
      <w:pPr>
        <w:pStyle w:val="Heading3"/>
        <w:spacing w:before="147"/>
        <w:ind w:left="142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64007A" w:rsidP="00377D8E">
      <w:pPr>
        <w:pStyle w:val="Heading3"/>
        <w:spacing w:before="74"/>
        <w:ind w:right="-31"/>
        <w:jc w:val="both"/>
      </w:pPr>
      <w:r>
        <w:rPr>
          <w:b w:val="0"/>
          <w:lang w:val="en-IN"/>
        </w:rPr>
        <w:t xml:space="preserve">Biogenic </w:t>
      </w:r>
      <w:r w:rsidRPr="0064007A">
        <w:rPr>
          <w:b w:val="0"/>
          <w:lang w:val="en-IN"/>
        </w:rPr>
        <w:t>synthesis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of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goldnanoparticles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have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been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accomplished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using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dried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biomass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of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two</w:t>
      </w:r>
      <w:r>
        <w:rPr>
          <w:b w:val="0"/>
          <w:lang w:val="en-IN"/>
        </w:rPr>
        <w:t xml:space="preserve"> high alti</w:t>
      </w:r>
      <w:r w:rsidRPr="0064007A">
        <w:rPr>
          <w:b w:val="0"/>
          <w:lang w:val="en-IN"/>
        </w:rPr>
        <w:t>tude lichen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species,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collected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from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the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alpine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region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of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Eastern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Himalaya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in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Arunachal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Pradesh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state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of North East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India,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without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addition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of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any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external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reducing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or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stabilizing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chemicals.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The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nanoparticles were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characterised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by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UV</w:t>
      </w:r>
      <w:r>
        <w:rPr>
          <w:b w:val="0"/>
          <w:lang w:val="en-IN"/>
        </w:rPr>
        <w:t>-</w:t>
      </w:r>
      <w:r w:rsidRPr="0064007A">
        <w:rPr>
          <w:b w:val="0"/>
          <w:lang w:val="en-IN"/>
        </w:rPr>
        <w:t>visible, FT-IR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spectroscopy,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powder</w:t>
      </w:r>
      <w:r>
        <w:rPr>
          <w:b w:val="0"/>
          <w:lang w:val="en-IN"/>
        </w:rPr>
        <w:t xml:space="preserve"> X-</w:t>
      </w:r>
      <w:r w:rsidRPr="0064007A">
        <w:rPr>
          <w:b w:val="0"/>
          <w:lang w:val="en-IN"/>
        </w:rPr>
        <w:t>ray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diffraction(XRD),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and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transmission</w:t>
      </w:r>
      <w:r>
        <w:rPr>
          <w:b w:val="0"/>
          <w:lang w:val="en-IN"/>
        </w:rPr>
        <w:t xml:space="preserve"> electron microscopy(TEM).The </w:t>
      </w:r>
      <w:r w:rsidRPr="0064007A">
        <w:rPr>
          <w:b w:val="0"/>
          <w:lang w:val="en-IN"/>
        </w:rPr>
        <w:t>obtained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gold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nanoparticles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showed</w:t>
      </w:r>
      <w:r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surface</w:t>
      </w:r>
      <w:r>
        <w:rPr>
          <w:b w:val="0"/>
          <w:lang w:val="en-IN"/>
        </w:rPr>
        <w:t xml:space="preserve"> Plasmon </w:t>
      </w:r>
      <w:r w:rsidRPr="0064007A">
        <w:rPr>
          <w:b w:val="0"/>
          <w:lang w:val="en-IN"/>
        </w:rPr>
        <w:t xml:space="preserve">resonance(SPR) band at </w:t>
      </w:r>
      <w:r w:rsidR="00377D8E">
        <w:rPr>
          <w:b w:val="0"/>
          <w:lang w:val="en-IN"/>
        </w:rPr>
        <w:t>~</w:t>
      </w:r>
      <w:r w:rsidRPr="0064007A">
        <w:rPr>
          <w:b w:val="0"/>
          <w:lang w:val="en-IN"/>
        </w:rPr>
        <w:t>535 nm.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The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XRD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study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furnished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evidence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for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the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formation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of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face-centered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cubic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structure of goldnanomaterials.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The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nanoparticles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produced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 xml:space="preserve">with </w:t>
      </w:r>
      <w:r w:rsidRPr="00377D8E">
        <w:rPr>
          <w:b w:val="0"/>
          <w:i/>
          <w:lang w:val="en-IN"/>
        </w:rPr>
        <w:t>Acroscyphus</w:t>
      </w:r>
      <w:r w:rsidR="00377D8E">
        <w:rPr>
          <w:b w:val="0"/>
          <w:lang w:val="en-IN"/>
        </w:rPr>
        <w:t xml:space="preserve"> </w:t>
      </w:r>
      <w:r w:rsidR="00377D8E" w:rsidRPr="00377D8E">
        <w:rPr>
          <w:b w:val="0"/>
          <w:i/>
          <w:lang w:val="en-IN"/>
        </w:rPr>
        <w:t>spaerophoroides</w:t>
      </w:r>
      <w:r w:rsidR="00377D8E">
        <w:rPr>
          <w:b w:val="0"/>
          <w:lang w:val="en-IN"/>
        </w:rPr>
        <w:t xml:space="preserve"> Lev.</w:t>
      </w:r>
      <w:r w:rsidRPr="0064007A">
        <w:rPr>
          <w:b w:val="0"/>
          <w:lang w:val="en-IN"/>
        </w:rPr>
        <w:t xml:space="preserve"> consisted of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multiply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twinned quasi-spherical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and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prismatic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shapes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while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those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accessed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 xml:space="preserve">with </w:t>
      </w:r>
      <w:r w:rsidR="00377D8E" w:rsidRPr="00377D8E">
        <w:rPr>
          <w:b w:val="0"/>
          <w:i/>
          <w:lang w:val="en-IN"/>
        </w:rPr>
        <w:t>Sticta nylanderiana</w:t>
      </w:r>
      <w:r w:rsidR="00377D8E">
        <w:rPr>
          <w:b w:val="0"/>
          <w:lang w:val="en-IN"/>
        </w:rPr>
        <w:t xml:space="preserve"> Zahlbr</w:t>
      </w:r>
      <w:r w:rsidRPr="0064007A">
        <w:rPr>
          <w:b w:val="0"/>
          <w:lang w:val="en-IN"/>
        </w:rPr>
        <w:t xml:space="preserve"> are exclusively</w:t>
      </w:r>
      <w:r w:rsidR="00377D8E">
        <w:rPr>
          <w:b w:val="0"/>
          <w:lang w:val="en-IN"/>
        </w:rPr>
        <w:t xml:space="preserve"> multiply twinned. </w:t>
      </w:r>
      <w:r w:rsidRPr="0064007A">
        <w:rPr>
          <w:b w:val="0"/>
          <w:lang w:val="en-IN"/>
        </w:rPr>
        <w:t>The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biomatrix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loaded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goldnanomaterial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exhibited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pronounced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>antioxidant</w:t>
      </w:r>
      <w:r w:rsidR="00377D8E">
        <w:rPr>
          <w:b w:val="0"/>
          <w:lang w:val="en-IN"/>
        </w:rPr>
        <w:t xml:space="preserve"> </w:t>
      </w:r>
      <w:r w:rsidRPr="0064007A">
        <w:rPr>
          <w:b w:val="0"/>
          <w:lang w:val="en-IN"/>
        </w:rPr>
        <w:t xml:space="preserve">activity.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377D8E">
      <w:pPr>
        <w:pStyle w:val="BodyText"/>
        <w:spacing w:before="2"/>
        <w:rPr>
          <w:rFonts w:ascii="Arial"/>
          <w:b/>
          <w:sz w:val="16"/>
        </w:rPr>
      </w:pPr>
      <w:r w:rsidRPr="00377D8E">
        <w:rPr>
          <w:rFonts w:ascii="Arial"/>
          <w:b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-2946</wp:posOffset>
            </wp:positionH>
            <wp:positionV relativeFrom="paragraph">
              <wp:posOffset>3073</wp:posOffset>
            </wp:positionV>
            <wp:extent cx="3167481" cy="1741018"/>
            <wp:effectExtent l="0" t="0" r="0" b="0"/>
            <wp:wrapSquare wrapText="bothSides"/>
            <wp:docPr id="2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077200" cy="4438650"/>
                      <a:chOff x="1066800" y="1905000"/>
                      <a:chExt cx="8077200" cy="4438650"/>
                    </a:xfrm>
                  </a:grpSpPr>
                  <a:grpSp>
                    <a:nvGrpSpPr>
                      <a:cNvPr id="22530" name="Group 19"/>
                      <a:cNvGrpSpPr>
                        <a:grpSpLocks/>
                      </a:cNvGrpSpPr>
                    </a:nvGrpSpPr>
                    <a:grpSpPr bwMode="auto">
                      <a:xfrm>
                        <a:off x="1066800" y="1905000"/>
                        <a:ext cx="8077200" cy="4438650"/>
                        <a:chOff x="1071538" y="642918"/>
                        <a:chExt cx="6936295" cy="5280571"/>
                      </a:xfrm>
                    </a:grpSpPr>
                    <a:pic>
                      <a:nvPicPr>
                        <a:cNvPr id="22537" name="Picture 2"/>
                        <a:cNvPicPr>
                          <a:picLocks noChangeAspect="1" noChangeArrowheads="1"/>
                        </a:cNvPicPr>
                      </a:nvPicPr>
                      <a:blipFill>
                        <a:blip r:embed="rId9">
                          <a:lum bright="18000" contrast="38000"/>
                        </a:blip>
                        <a:srcRect l="16776" r="25160"/>
                        <a:stretch>
                          <a:fillRect/>
                        </a:stretch>
                      </a:blipFill>
                      <a:spPr bwMode="auto">
                        <a:xfrm>
                          <a:off x="3428992" y="642918"/>
                          <a:ext cx="1857388" cy="1428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grpSp>
                      <a:nvGrpSpPr>
                        <a:cNvPr id="4" name="Group 19"/>
                        <a:cNvGrpSpPr>
                          <a:grpSpLocks/>
                        </a:cNvGrpSpPr>
                      </a:nvGrpSpPr>
                      <a:grpSpPr bwMode="auto">
                        <a:xfrm>
                          <a:off x="1071538" y="683765"/>
                          <a:ext cx="6936295" cy="5239724"/>
                          <a:chOff x="1052625" y="692208"/>
                          <a:chExt cx="6936295" cy="5239724"/>
                        </a:xfrm>
                      </a:grpSpPr>
                      <a:pic>
                        <a:nvPicPr>
                          <a:cNvPr id="22539" name="Picture 1" descr="C:\Users\Nirmalendu\Desktop\scheme final.jpg"/>
                          <a:cNvPicPr>
                            <a:picLocks noChangeAspect="1"/>
                          </a:cNvPicPr>
                        </a:nvPicPr>
                        <a:blipFill>
                          <a:blip r:embed="rId10"/>
                          <a:srcRect r="85663" b="59102"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1479555" y="1445030"/>
                            <a:ext cx="1698415" cy="2920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</a:pic>
                      <a:pic>
                        <a:nvPicPr>
                          <a:cNvPr id="22540" name="Picture 2" descr="C:\Users\Nirmalendu\Desktop\scheme final.jpg"/>
                          <a:cNvPicPr>
                            <a:picLocks noChangeAspect="1"/>
                          </a:cNvPicPr>
                        </a:nvPicPr>
                        <a:blipFill>
                          <a:blip r:embed="rId10"/>
                          <a:srcRect l="43141" t="47725" r="39027" b="15868"/>
                          <a:stretch>
                            <a:fillRect/>
                          </a:stretch>
                        </a:blipFill>
                        <a:spPr bwMode="auto">
                          <a:xfrm>
                            <a:off x="5643570" y="1785926"/>
                            <a:ext cx="2038350" cy="25087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</a:pic>
                      <a:sp>
                        <a:nvSpPr>
                          <a:cNvPr id="9" name="Right Arrow 8"/>
                          <a:cNvSpPr/>
                        </a:nvSpPr>
                        <a:spPr>
                          <a:xfrm>
                            <a:off x="3505140" y="3341779"/>
                            <a:ext cx="1829502" cy="228379"/>
                          </a:xfrm>
                          <a:prstGeom prst="rightArrow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a:spPr>
                        <a:txSp>
                          <a:txBody>
                            <a:bodyPr anchor="ctr"/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endParaRPr lang="en-IN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10" name="Curved Right Arrow 9"/>
                          <a:cNvSpPr/>
                        </a:nvSpPr>
                        <a:spPr>
                          <a:xfrm rot="2894091">
                            <a:off x="2313825" y="413923"/>
                            <a:ext cx="803969" cy="1360539"/>
                          </a:xfrm>
                          <a:prstGeom prst="curvedRightArrow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a:spPr>
                        <a:txSp>
                          <a:txBody>
                            <a:bodyPr anchor="ctr"/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endParaRPr lang="en-IN">
                                <a:solidFill>
                                  <a:schemeClr val="tx1"/>
                                </a:solidFill>
                              </a:endParaRPr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20494" name="TextBox 6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3124789" y="1938083"/>
                            <a:ext cx="2201674" cy="540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>
                                <a:defRPr/>
                              </a:pPr>
                              <a:r>
                                <a:rPr lang="en-IN" sz="2400" b="1" dirty="0">
                                  <a:solidFill>
                                    <a:srgbClr val="00B050"/>
                                  </a:solidFill>
                                </a:rPr>
                                <a:t> </a:t>
                              </a:r>
                              <a:r>
                                <a:rPr lang="en-IN" b="1" dirty="0">
                                  <a:solidFill>
                                    <a:schemeClr val="accent3">
                                      <a:lumMod val="50000"/>
                                    </a:schemeClr>
                                  </a:solidFill>
                                </a:rPr>
                                <a:t>Dried Lichen Powder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2544" name="TextBox 7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3505200" y="2879450"/>
                            <a:ext cx="1614673" cy="369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IN" b="1"/>
                                <a:t>Stirred at 25 °C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2545" name="TextBox 8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3657600" y="3505200"/>
                            <a:ext cx="1326004" cy="369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IN" b="1"/>
                                <a:t>30 min -1 hr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4" name="Right Arrow 13"/>
                          <a:cNvSpPr/>
                        </a:nvSpPr>
                        <a:spPr>
                          <a:xfrm>
                            <a:off x="5562307" y="5486314"/>
                            <a:ext cx="1524131" cy="152253"/>
                          </a:xfrm>
                          <a:prstGeom prst="rightArrow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a:spPr>
                        <a:txSp>
                          <a:txBody>
                            <a:bodyPr anchor="ctr"/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endParaRPr lang="en-IN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22547" name="TextBox 9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1052625" y="5314890"/>
                            <a:ext cx="1545616" cy="40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IN" sz="2000" b="1"/>
                                <a:t>HAuCl</a:t>
                              </a:r>
                              <a:r>
                                <a:rPr lang="en-IN" sz="2000" b="1" baseline="-25000"/>
                                <a:t>4</a:t>
                              </a:r>
                              <a:r>
                                <a:rPr lang="en-IN" sz="2000" b="1"/>
                                <a:t>.3H</a:t>
                              </a:r>
                              <a:r>
                                <a:rPr lang="en-IN" sz="2000" b="1" baseline="-25000"/>
                                <a:t>2</a:t>
                              </a:r>
                              <a:r>
                                <a:rPr lang="en-IN" sz="2000" b="1"/>
                                <a:t>O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6" name="Plus 15"/>
                          <a:cNvSpPr/>
                        </a:nvSpPr>
                        <a:spPr>
                          <a:xfrm>
                            <a:off x="2668095" y="5334061"/>
                            <a:ext cx="393983" cy="456758"/>
                          </a:xfrm>
                          <a:prstGeom prst="mathPlus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solidFill>
                              <a:srgbClr val="002060"/>
                            </a:solidFill>
                          </a:ln>
                        </a:spPr>
                        <a:txSp>
                          <a:txBody>
                            <a:bodyPr anchor="ctr"/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endParaRPr lang="en-IN"/>
                            </a:p>
                          </a:txBody>
                          <a:useSpRect/>
                        </a:txSp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</a:sp>
                      <a:sp>
                        <a:nvSpPr>
                          <a:cNvPr id="22549" name="TextBox 11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3131641" y="5334000"/>
                            <a:ext cx="2385525" cy="40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IN" sz="2000" b="1"/>
                                <a:t>Dried Lichen Powder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2550" name="TextBox 13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7148625" y="5306601"/>
                            <a:ext cx="840295" cy="467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IN" sz="2000" b="1"/>
                                <a:t>Au-NP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2551" name="TextBox 14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5457752" y="5018415"/>
                            <a:ext cx="1614673" cy="369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IN" b="1"/>
                                <a:t>Stirred at 25 °C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2552" name="TextBox 15"/>
                          <a:cNvSpPr txBox="1">
                            <a:spLocks noChangeArrowheads="1"/>
                          </a:cNvSpPr>
                        </a:nvSpPr>
                        <a:spPr bwMode="auto">
                          <a:xfrm>
                            <a:off x="5594021" y="5562600"/>
                            <a:ext cx="1326004" cy="369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1pPr>
                              <a:lvl2pPr marL="4572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2pPr>
                              <a:lvl3pPr marL="9144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3pPr>
                              <a:lvl4pPr marL="13716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4pPr>
                              <a:lvl5pPr marL="1828800" algn="l" rtl="0" eaLnBrk="0" fontAlgn="base" hangingPunct="0"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kern="1200">
                                  <a:solidFill>
                                    <a:schemeClr val="tx1"/>
                                  </a:solidFill>
                                  <a:latin typeface="Arial" charset="0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IN" b="1"/>
                                <a:t>30 min -1 hr</a:t>
                              </a:r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anchor>
        </w:drawing>
      </w:r>
    </w:p>
    <w:p w:rsidR="005973B9" w:rsidRDefault="005973B9" w:rsidP="00377D8E">
      <w:pPr>
        <w:spacing w:line="204" w:lineRule="exact"/>
        <w:ind w:left="142" w:hanging="14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630D76" w:rsidRPr="00630D76" w:rsidRDefault="00630D76" w:rsidP="00630D7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lang w:val="en-IN"/>
        </w:rPr>
      </w:pPr>
      <w:r>
        <w:rPr>
          <w:sz w:val="18"/>
        </w:rPr>
        <w:t>Sharma B, Purkayastha DD, Hazra S, Thajamanbi M, Bhatta</w:t>
      </w:r>
      <w:r w:rsidR="00192BCF">
        <w:rPr>
          <w:sz w:val="18"/>
        </w:rPr>
        <w:t>cahrjee CR, Ghosh NN and Rout J</w:t>
      </w:r>
      <w:r w:rsidR="006C34B0">
        <w:rPr>
          <w:sz w:val="18"/>
        </w:rPr>
        <w:t>(</w:t>
      </w:r>
      <w:r>
        <w:rPr>
          <w:sz w:val="18"/>
        </w:rPr>
        <w:t>2014</w:t>
      </w:r>
      <w:r w:rsidR="006C34B0">
        <w:rPr>
          <w:sz w:val="18"/>
        </w:rPr>
        <w:t>)</w:t>
      </w:r>
      <w:r>
        <w:rPr>
          <w:sz w:val="18"/>
        </w:rPr>
        <w:t xml:space="preserve">. </w:t>
      </w:r>
      <w:r w:rsidRPr="00630D76">
        <w:rPr>
          <w:sz w:val="18"/>
          <w:lang w:val="en-IN"/>
        </w:rPr>
        <w:t>Biosynthesis of fluorescent gold nanoparticles using an edible</w:t>
      </w:r>
      <w:r>
        <w:rPr>
          <w:sz w:val="18"/>
          <w:lang w:val="en-IN"/>
        </w:rPr>
        <w:t xml:space="preserve"> </w:t>
      </w:r>
      <w:r w:rsidRPr="00630D76">
        <w:rPr>
          <w:sz w:val="18"/>
          <w:lang w:val="en-IN"/>
        </w:rPr>
        <w:t xml:space="preserve">freshwater red alga, </w:t>
      </w:r>
      <w:r w:rsidRPr="00630D76">
        <w:rPr>
          <w:i/>
          <w:sz w:val="18"/>
          <w:lang w:val="en-IN"/>
        </w:rPr>
        <w:t>Lemanea fluviatilis</w:t>
      </w:r>
      <w:r w:rsidRPr="00630D76">
        <w:rPr>
          <w:sz w:val="18"/>
          <w:lang w:val="en-IN"/>
        </w:rPr>
        <w:t xml:space="preserve"> (L.) C.</w:t>
      </w:r>
      <w:r>
        <w:rPr>
          <w:sz w:val="18"/>
          <w:lang w:val="en-IN"/>
        </w:rPr>
        <w:t xml:space="preserve"> </w:t>
      </w:r>
      <w:r w:rsidRPr="00630D76">
        <w:rPr>
          <w:sz w:val="18"/>
          <w:lang w:val="en-IN"/>
        </w:rPr>
        <w:t>Ag. and antioxidant</w:t>
      </w:r>
      <w:r>
        <w:rPr>
          <w:sz w:val="18"/>
          <w:lang w:val="en-IN"/>
        </w:rPr>
        <w:t xml:space="preserve"> </w:t>
      </w:r>
      <w:r w:rsidRPr="00630D76">
        <w:rPr>
          <w:sz w:val="18"/>
          <w:lang w:val="en-IN"/>
        </w:rPr>
        <w:t>activity of biomatrix loaded nanoparticles</w:t>
      </w:r>
      <w:r>
        <w:rPr>
          <w:sz w:val="18"/>
        </w:rPr>
        <w:t>. Bioprocess and Biosystem Engineering</w:t>
      </w:r>
      <w:r w:rsidR="006C34B0">
        <w:rPr>
          <w:sz w:val="18"/>
        </w:rPr>
        <w:t xml:space="preserve">  </w:t>
      </w:r>
      <w:r w:rsidR="006C34B0" w:rsidRPr="006C34B0">
        <w:rPr>
          <w:sz w:val="18"/>
          <w:lang w:val="en-IN"/>
        </w:rPr>
        <w:t>DOI 10.1007/s00449-014-1233-2</w:t>
      </w:r>
    </w:p>
    <w:p w:rsidR="005F2664" w:rsidRPr="005F2664" w:rsidRDefault="006C34B0" w:rsidP="005F266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Sharma B, Purkayastha DD, Hazra S, Gogoi L, Bhatta</w:t>
      </w:r>
      <w:r w:rsidR="00192BCF">
        <w:rPr>
          <w:sz w:val="18"/>
        </w:rPr>
        <w:t>cahrjee CR, Ghosh NN and Rout J</w:t>
      </w:r>
      <w:r>
        <w:rPr>
          <w:sz w:val="18"/>
        </w:rPr>
        <w:t>(2014).</w:t>
      </w:r>
      <w:r w:rsidRPr="006C34B0">
        <w:rPr>
          <w:sz w:val="18"/>
          <w:lang w:val="en-IN"/>
        </w:rPr>
        <w:t>Biosynthesis of</w:t>
      </w:r>
      <w:r>
        <w:rPr>
          <w:sz w:val="18"/>
          <w:lang w:val="en-IN"/>
        </w:rPr>
        <w:t xml:space="preserve"> </w:t>
      </w:r>
      <w:r w:rsidRPr="006C34B0">
        <w:rPr>
          <w:sz w:val="18"/>
          <w:lang w:val="en-IN"/>
        </w:rPr>
        <w:t>goldnanoparticles</w:t>
      </w:r>
      <w:r>
        <w:rPr>
          <w:sz w:val="18"/>
          <w:lang w:val="en-IN"/>
        </w:rPr>
        <w:t xml:space="preserve"> </w:t>
      </w:r>
      <w:r w:rsidRPr="006C34B0">
        <w:rPr>
          <w:sz w:val="18"/>
          <w:lang w:val="en-IN"/>
        </w:rPr>
        <w:t>using</w:t>
      </w:r>
      <w:r>
        <w:rPr>
          <w:sz w:val="18"/>
          <w:lang w:val="en-IN"/>
        </w:rPr>
        <w:t xml:space="preserve"> </w:t>
      </w:r>
      <w:r w:rsidRPr="006C34B0">
        <w:rPr>
          <w:sz w:val="18"/>
          <w:lang w:val="en-IN"/>
        </w:rPr>
        <w:t>a</w:t>
      </w:r>
      <w:r>
        <w:rPr>
          <w:sz w:val="18"/>
          <w:lang w:val="en-IN"/>
        </w:rPr>
        <w:t xml:space="preserve"> </w:t>
      </w:r>
      <w:r w:rsidRPr="006C34B0">
        <w:rPr>
          <w:sz w:val="18"/>
          <w:lang w:val="en-IN"/>
        </w:rPr>
        <w:t>fresh</w:t>
      </w:r>
      <w:r>
        <w:rPr>
          <w:sz w:val="18"/>
          <w:lang w:val="en-IN"/>
        </w:rPr>
        <w:t xml:space="preserve"> </w:t>
      </w:r>
      <w:r w:rsidRPr="006C34B0">
        <w:rPr>
          <w:sz w:val="18"/>
          <w:lang w:val="en-IN"/>
        </w:rPr>
        <w:t>water</w:t>
      </w:r>
      <w:r>
        <w:rPr>
          <w:sz w:val="18"/>
          <w:lang w:val="en-IN"/>
        </w:rPr>
        <w:t xml:space="preserve"> </w:t>
      </w:r>
      <w:r w:rsidRPr="006C34B0">
        <w:rPr>
          <w:sz w:val="18"/>
          <w:lang w:val="en-IN"/>
        </w:rPr>
        <w:t>green</w:t>
      </w:r>
      <w:r>
        <w:rPr>
          <w:sz w:val="18"/>
          <w:lang w:val="en-IN"/>
        </w:rPr>
        <w:t xml:space="preserve"> </w:t>
      </w:r>
      <w:r w:rsidRPr="006C34B0">
        <w:rPr>
          <w:sz w:val="18"/>
          <w:lang w:val="en-IN"/>
        </w:rPr>
        <w:t xml:space="preserve">alga, </w:t>
      </w:r>
      <w:r w:rsidRPr="006C34B0">
        <w:rPr>
          <w:i/>
          <w:sz w:val="18"/>
          <w:lang w:val="en-IN"/>
        </w:rPr>
        <w:t>Prasiola crispa</w:t>
      </w:r>
      <w:r>
        <w:rPr>
          <w:sz w:val="18"/>
          <w:lang w:val="en-IN"/>
        </w:rPr>
        <w:t>. Materials letters 116:94-97.</w:t>
      </w:r>
    </w:p>
    <w:p w:rsidR="005F2664" w:rsidRPr="005F2664" w:rsidRDefault="005F2664" w:rsidP="005F266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="Arial"/>
          <w:sz w:val="18"/>
          <w:szCs w:val="18"/>
        </w:rPr>
      </w:pPr>
      <w:r w:rsidRPr="005F2664">
        <w:rPr>
          <w:rFonts w:asciiTheme="minorHAnsi" w:eastAsiaTheme="minorHAnsi" w:hAnsiTheme="minorHAnsi" w:cs="Arial"/>
          <w:sz w:val="18"/>
          <w:szCs w:val="18"/>
          <w:lang w:val="en-IN"/>
        </w:rPr>
        <w:t xml:space="preserve">Singh DK, Jagannathan R, Khandelwal P, Abraham PM, Poddar </w:t>
      </w:r>
      <w:r w:rsidR="00192BCF">
        <w:rPr>
          <w:rFonts w:asciiTheme="minorHAnsi" w:eastAsiaTheme="minorHAnsi" w:hAnsiTheme="minorHAnsi" w:cs="Arial"/>
          <w:sz w:val="18"/>
          <w:szCs w:val="18"/>
          <w:lang w:val="en-IN"/>
        </w:rPr>
        <w:t>P</w:t>
      </w:r>
      <w:r w:rsidRPr="005F2664">
        <w:rPr>
          <w:rFonts w:asciiTheme="minorHAnsi" w:eastAsiaTheme="minorHAnsi" w:hAnsiTheme="minorHAnsi" w:cs="Arial"/>
          <w:sz w:val="18"/>
          <w:szCs w:val="18"/>
          <w:lang w:val="en-IN"/>
        </w:rPr>
        <w:t>(2013)</w:t>
      </w:r>
      <w:r>
        <w:rPr>
          <w:rFonts w:asciiTheme="minorHAnsi" w:eastAsiaTheme="minorHAnsi" w:hAnsiTheme="minorHAnsi" w:cs="Arial"/>
          <w:sz w:val="18"/>
          <w:szCs w:val="18"/>
          <w:lang w:val="en-IN"/>
        </w:rPr>
        <w:t>.</w:t>
      </w:r>
      <w:r w:rsidRPr="005F2664">
        <w:rPr>
          <w:rFonts w:asciiTheme="minorHAnsi" w:eastAsiaTheme="minorHAnsi" w:hAnsiTheme="minorHAnsi" w:cs="Arial"/>
          <w:sz w:val="18"/>
          <w:szCs w:val="18"/>
          <w:lang w:val="en-IN"/>
        </w:rPr>
        <w:t xml:space="preserve"> In situ synthesis and surface functionalization of gold nanoparticles with curcumin and their antioxidant properties: an experimental and density functional theory investigation. Nanoscal </w:t>
      </w:r>
      <w:r>
        <w:rPr>
          <w:rFonts w:asciiTheme="minorHAnsi" w:eastAsiaTheme="minorHAnsi" w:hAnsiTheme="minorHAnsi" w:cs="Arial"/>
          <w:sz w:val="18"/>
          <w:szCs w:val="18"/>
          <w:lang w:val="en-IN"/>
        </w:rPr>
        <w:t>5:1882-</w:t>
      </w:r>
      <w:r w:rsidRPr="005F2664">
        <w:rPr>
          <w:rFonts w:asciiTheme="minorHAnsi" w:eastAsiaTheme="minorHAnsi" w:hAnsiTheme="minorHAnsi" w:cs="Arial"/>
          <w:sz w:val="18"/>
          <w:szCs w:val="18"/>
          <w:lang w:val="en-IN"/>
        </w:rPr>
        <w:t>189.</w:t>
      </w:r>
    </w:p>
    <w:p w:rsidR="00A001ED" w:rsidRPr="00A001ED" w:rsidRDefault="005F2664" w:rsidP="00A001E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="Arial"/>
          <w:sz w:val="18"/>
          <w:szCs w:val="18"/>
        </w:rPr>
      </w:pPr>
      <w:r w:rsidRPr="005F2664">
        <w:rPr>
          <w:rFonts w:asciiTheme="minorHAnsi" w:eastAsiaTheme="minorHAnsi" w:hAnsiTheme="minorHAnsi" w:cs="AdvPTimes"/>
          <w:sz w:val="18"/>
          <w:szCs w:val="18"/>
          <w:lang w:val="en-IN"/>
        </w:rPr>
        <w:t>Mikami Y, Dhakshinamoorthy A, Alvaroa M, Garcı´a H (2013). Catalytic activity of unsupported gold Nanoparticles. Catal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>ysis</w:t>
      </w:r>
      <w:r w:rsidRPr="005F2664"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 Sci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>ence</w:t>
      </w:r>
      <w:r w:rsidRPr="005F2664"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 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&amp; </w:t>
      </w:r>
      <w:r w:rsidRPr="005F2664">
        <w:rPr>
          <w:rFonts w:asciiTheme="minorHAnsi" w:eastAsiaTheme="minorHAnsi" w:hAnsiTheme="minorHAnsi" w:cs="AdvPTimes"/>
          <w:sz w:val="18"/>
          <w:szCs w:val="18"/>
          <w:lang w:val="en-IN"/>
        </w:rPr>
        <w:t>Technol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>ogy</w:t>
      </w:r>
      <w:r w:rsidRPr="005F2664"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 3:58-69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>.</w:t>
      </w:r>
    </w:p>
    <w:p w:rsidR="00AE3E37" w:rsidRPr="00192BCF" w:rsidRDefault="00A001ED" w:rsidP="00192BC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="Arial"/>
          <w:sz w:val="18"/>
          <w:szCs w:val="18"/>
        </w:rPr>
        <w:sectPr w:rsidR="00AE3E37" w:rsidRPr="00192BC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001ED">
        <w:rPr>
          <w:rFonts w:asciiTheme="minorHAnsi" w:eastAsiaTheme="minorHAnsi" w:hAnsiTheme="minorHAnsi" w:cs="AdvPTimes"/>
          <w:sz w:val="18"/>
          <w:szCs w:val="18"/>
          <w:lang w:val="en-IN"/>
        </w:rPr>
        <w:t>Asmathunisha N, Kathiresan K (2013)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>.</w:t>
      </w:r>
      <w:r w:rsidRPr="00A001ED"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 A review on biosynthesis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 </w:t>
      </w:r>
      <w:r w:rsidRPr="00A001ED"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of nanoparticles by marine organisms. Colloids </w:t>
      </w:r>
      <w:r w:rsidR="00192BCF"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and </w:t>
      </w:r>
      <w:r w:rsidRPr="00A001ED">
        <w:rPr>
          <w:rFonts w:asciiTheme="minorHAnsi" w:eastAsiaTheme="minorHAnsi" w:hAnsiTheme="minorHAnsi" w:cs="AdvPTimes"/>
          <w:sz w:val="18"/>
          <w:szCs w:val="18"/>
          <w:lang w:val="en-IN"/>
        </w:rPr>
        <w:t>Surf</w:t>
      </w:r>
      <w:r w:rsidR="00192BCF">
        <w:rPr>
          <w:rFonts w:asciiTheme="minorHAnsi" w:eastAsiaTheme="minorHAnsi" w:hAnsiTheme="minorHAnsi" w:cs="AdvPTimes"/>
          <w:sz w:val="18"/>
          <w:szCs w:val="18"/>
          <w:lang w:val="en-IN"/>
        </w:rPr>
        <w:t>aces</w:t>
      </w:r>
      <w:r w:rsidRPr="00A001ED">
        <w:rPr>
          <w:rFonts w:asciiTheme="minorHAnsi" w:eastAsiaTheme="minorHAnsi" w:hAnsiTheme="minorHAnsi" w:cs="AdvPTimes"/>
          <w:sz w:val="18"/>
          <w:szCs w:val="18"/>
          <w:lang w:val="en-IN"/>
        </w:rPr>
        <w:t xml:space="preserve"> B 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>103:283-</w:t>
      </w:r>
      <w:r w:rsidRPr="00A001ED">
        <w:rPr>
          <w:rFonts w:asciiTheme="minorHAnsi" w:eastAsiaTheme="minorHAnsi" w:hAnsiTheme="minorHAnsi" w:cs="AdvPTimes"/>
          <w:sz w:val="18"/>
          <w:szCs w:val="18"/>
          <w:lang w:val="en-IN"/>
        </w:rPr>
        <w:t>287</w:t>
      </w:r>
      <w:r>
        <w:rPr>
          <w:rFonts w:asciiTheme="minorHAnsi" w:eastAsiaTheme="minorHAnsi" w:hAnsiTheme="minorHAnsi" w:cs="AdvPTimes"/>
          <w:sz w:val="18"/>
          <w:szCs w:val="18"/>
          <w:lang w:val="en-IN"/>
        </w:rPr>
        <w:t>.</w:t>
      </w:r>
    </w:p>
    <w:p w:rsidR="00AE3E37" w:rsidRDefault="00CC092A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20"/>
          <w:lang w:val="en-IN" w:eastAsia="en-IN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254000</wp:posOffset>
            </wp:positionH>
            <wp:positionV relativeFrom="paragraph">
              <wp:posOffset>-1905</wp:posOffset>
            </wp:positionV>
            <wp:extent cx="863600" cy="1097280"/>
            <wp:effectExtent l="19050" t="0" r="0" b="0"/>
            <wp:wrapSquare wrapText="bothSides"/>
            <wp:docPr id="6" name="Picture 1" descr="G:\M.Sc. related\M.Sc. clas.doc\voter id\swdswaf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.Sc. related\M.Sc. clas.doc\voter id\swdswafd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3E37" w:rsidRDefault="00FC0F4A">
      <w:pPr>
        <w:pStyle w:val="BodyText"/>
        <w:spacing w:line="40" w:lineRule="exact"/>
        <w:ind w:left="2202"/>
        <w:rPr>
          <w:rFonts w:ascii="Calibri"/>
          <w:sz w:val="4"/>
        </w:rPr>
      </w:pPr>
      <w:r w:rsidRPr="00FC0F4A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E3E37" w:rsidP="00192BCF">
      <w:pPr>
        <w:spacing w:before="92"/>
        <w:ind w:right="4234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92BCF">
        <w:rPr>
          <w:rFonts w:ascii="Arial"/>
          <w:sz w:val="14"/>
        </w:rPr>
        <w:t>rupam.debnath@yahoo.in</w:t>
      </w:r>
      <w:r w:rsidR="000D7EB5">
        <w:rPr>
          <w:rFonts w:ascii="Arial"/>
          <w:sz w:val="14"/>
        </w:rPr>
        <w:t>*</w:t>
      </w:r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</w:t>
      </w:r>
      <w:bookmarkStart w:id="0" w:name="_GoBack"/>
      <w:bookmarkEnd w:id="0"/>
      <w:r w:rsidR="00192BCF">
        <w:rPr>
          <w:rStyle w:val="Hyperlink"/>
          <w:rFonts w:ascii="Arial"/>
          <w:color w:val="auto"/>
          <w:sz w:val="14"/>
          <w:u w:val="none"/>
        </w:rPr>
        <w:t>91-9485098694</w:t>
      </w:r>
    </w:p>
    <w:p w:rsidR="00AE3E37" w:rsidRPr="00192BCF" w:rsidRDefault="00FC0F4A" w:rsidP="00192BCF">
      <w:pPr>
        <w:pStyle w:val="BodyText"/>
        <w:spacing w:before="2"/>
        <w:rPr>
          <w:rFonts w:ascii="Minion Pro"/>
          <w:b/>
          <w:sz w:val="20"/>
        </w:rPr>
        <w:sectPr w:rsidR="00AE3E37" w:rsidRPr="00192BC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FC0F4A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0AF" w:rsidRDefault="00AF70AF">
      <w:r>
        <w:separator/>
      </w:r>
    </w:p>
  </w:endnote>
  <w:endnote w:type="continuationSeparator" w:id="1">
    <w:p w:rsidR="00AF70AF" w:rsidRDefault="00AF70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C0F4A">
    <w:pPr>
      <w:pStyle w:val="BodyText"/>
      <w:spacing w:line="14" w:lineRule="auto"/>
      <w:rPr>
        <w:sz w:val="20"/>
      </w:rPr>
    </w:pPr>
    <w:r w:rsidRPr="00FC0F4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FC0F4A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C0F4A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0AF" w:rsidRDefault="00AF70AF">
      <w:r>
        <w:separator/>
      </w:r>
    </w:p>
  </w:footnote>
  <w:footnote w:type="continuationSeparator" w:id="1">
    <w:p w:rsidR="00AF70AF" w:rsidRDefault="00AF70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C0F4A">
    <w:pPr>
      <w:pStyle w:val="BodyText"/>
      <w:spacing w:line="14" w:lineRule="auto"/>
      <w:rPr>
        <w:sz w:val="20"/>
      </w:rPr>
    </w:pPr>
    <w:r w:rsidRPr="00FC0F4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6831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02D604CD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1E2813F9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642C6"/>
    <w:rsid w:val="00065718"/>
    <w:rsid w:val="000D7EB5"/>
    <w:rsid w:val="000E2911"/>
    <w:rsid w:val="001263DF"/>
    <w:rsid w:val="00135B4D"/>
    <w:rsid w:val="00166D37"/>
    <w:rsid w:val="00192BCF"/>
    <w:rsid w:val="002220FB"/>
    <w:rsid w:val="00292ED9"/>
    <w:rsid w:val="00377D8E"/>
    <w:rsid w:val="003A3E6C"/>
    <w:rsid w:val="00404E5B"/>
    <w:rsid w:val="00414F7B"/>
    <w:rsid w:val="004355DC"/>
    <w:rsid w:val="004749B4"/>
    <w:rsid w:val="00483E2A"/>
    <w:rsid w:val="00494130"/>
    <w:rsid w:val="004F3523"/>
    <w:rsid w:val="005973B9"/>
    <w:rsid w:val="005B3A56"/>
    <w:rsid w:val="005F2664"/>
    <w:rsid w:val="006060CE"/>
    <w:rsid w:val="00630D76"/>
    <w:rsid w:val="0063497F"/>
    <w:rsid w:val="0064007A"/>
    <w:rsid w:val="006910C5"/>
    <w:rsid w:val="006C34B0"/>
    <w:rsid w:val="00810895"/>
    <w:rsid w:val="00827B1F"/>
    <w:rsid w:val="00873DF0"/>
    <w:rsid w:val="008756E6"/>
    <w:rsid w:val="009B2D44"/>
    <w:rsid w:val="00A001ED"/>
    <w:rsid w:val="00A07E82"/>
    <w:rsid w:val="00A9710C"/>
    <w:rsid w:val="00AE3E37"/>
    <w:rsid w:val="00AF70AF"/>
    <w:rsid w:val="00B21A57"/>
    <w:rsid w:val="00C33602"/>
    <w:rsid w:val="00CC00DB"/>
    <w:rsid w:val="00CC092A"/>
    <w:rsid w:val="00CD6F55"/>
    <w:rsid w:val="00DE3104"/>
    <w:rsid w:val="00E029EB"/>
    <w:rsid w:val="00F72EEA"/>
    <w:rsid w:val="00F84CAE"/>
    <w:rsid w:val="00FC0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BAPI</cp:lastModifiedBy>
  <cp:revision>12</cp:revision>
  <dcterms:created xsi:type="dcterms:W3CDTF">2018-05-19T04:45:00Z</dcterms:created>
  <dcterms:modified xsi:type="dcterms:W3CDTF">2018-05-19T06:05:00Z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