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3C2C6D" w14:textId="4EA81D20" w:rsidR="002B00E6" w:rsidRDefault="00956BA7" w:rsidP="00B449B2">
      <w:pPr>
        <w:pStyle w:val="Heading1"/>
        <w:rPr>
          <w:rFonts w:ascii="Minion Pro" w:hAnsi="Minion Pro"/>
        </w:rPr>
      </w:pPr>
      <w:r w:rsidRPr="00B449B2">
        <w:rPr>
          <w:rFonts w:ascii="Minion Pro" w:hAnsi="Minion Pro"/>
        </w:rPr>
        <w:t xml:space="preserve">Optimization of </w:t>
      </w:r>
      <w:r w:rsidR="00A900D7">
        <w:rPr>
          <w:rFonts w:ascii="Minion Pro" w:hAnsi="Minion Pro"/>
        </w:rPr>
        <w:t>fresh</w:t>
      </w:r>
      <w:r w:rsidRPr="00B449B2">
        <w:rPr>
          <w:rFonts w:ascii="Minion Pro" w:hAnsi="Minion Pro"/>
        </w:rPr>
        <w:t xml:space="preserve"> and </w:t>
      </w:r>
      <w:r w:rsidR="00A900D7">
        <w:rPr>
          <w:rFonts w:ascii="Minion Pro" w:hAnsi="Minion Pro"/>
        </w:rPr>
        <w:t>strength</w:t>
      </w:r>
      <w:r w:rsidRPr="00B449B2">
        <w:rPr>
          <w:rFonts w:ascii="Minion Pro" w:hAnsi="Minion Pro"/>
        </w:rPr>
        <w:t xml:space="preserve"> properties of geopolymer cement mortar made with Bentonite</w:t>
      </w:r>
    </w:p>
    <w:p w14:paraId="389CAD9A" w14:textId="14C84635" w:rsidR="00B449B2" w:rsidRPr="00B449B2" w:rsidRDefault="00B449B2" w:rsidP="00B449B2">
      <w:pPr>
        <w:rPr>
          <w:rFonts w:ascii="Arial" w:hAnsi="Arial" w:cs="Arial"/>
          <w:sz w:val="18"/>
          <w:szCs w:val="18"/>
        </w:rPr>
      </w:pPr>
      <w:r w:rsidRPr="00B449B2">
        <w:rPr>
          <w:rFonts w:ascii="Arial" w:hAnsi="Arial" w:cs="Arial"/>
          <w:sz w:val="18"/>
          <w:szCs w:val="18"/>
        </w:rPr>
        <w:t>M. Achyutha Kumar Reddy, K L Deemed to be University, India.</w:t>
      </w:r>
    </w:p>
    <w:p w14:paraId="5BB7A4EC" w14:textId="77777777" w:rsidR="004C243A" w:rsidRDefault="004C243A" w:rsidP="00942A9C">
      <w:pPr>
        <w:pStyle w:val="Heading2"/>
        <w:rPr>
          <w:rFonts w:ascii="Arial" w:hAnsi="Arial" w:cs="Arial"/>
          <w:b/>
          <w:bCs/>
          <w:color w:val="C45911" w:themeColor="accent2" w:themeShade="BF"/>
          <w:sz w:val="20"/>
          <w:szCs w:val="20"/>
        </w:rPr>
        <w:sectPr w:rsidR="004C243A" w:rsidSect="00B449B2">
          <w:pgSz w:w="12240" w:h="15840"/>
          <w:pgMar w:top="1728" w:right="720" w:bottom="720" w:left="720" w:header="720" w:footer="720" w:gutter="0"/>
          <w:cols w:space="720"/>
          <w:docGrid w:linePitch="360"/>
        </w:sectPr>
      </w:pPr>
    </w:p>
    <w:p w14:paraId="623A278F" w14:textId="098538AA" w:rsidR="00B449B2" w:rsidRDefault="00B449B2" w:rsidP="00942A9C">
      <w:pPr>
        <w:pStyle w:val="Heading2"/>
        <w:rPr>
          <w:rFonts w:ascii="Arial" w:hAnsi="Arial" w:cs="Arial"/>
          <w:b/>
          <w:bCs/>
          <w:color w:val="C45911" w:themeColor="accent2" w:themeShade="BF"/>
          <w:sz w:val="20"/>
          <w:szCs w:val="20"/>
        </w:rPr>
      </w:pPr>
      <w:r w:rsidRPr="00942A9C">
        <w:rPr>
          <w:rFonts w:ascii="Arial" w:hAnsi="Arial" w:cs="Arial"/>
          <w:b/>
          <w:bCs/>
          <w:color w:val="C45911" w:themeColor="accent2" w:themeShade="BF"/>
          <w:sz w:val="20"/>
          <w:szCs w:val="20"/>
        </w:rPr>
        <w:t>Abstract (</w:t>
      </w:r>
      <w:r w:rsidR="00942A9C" w:rsidRPr="00942A9C">
        <w:rPr>
          <w:rFonts w:ascii="Arial" w:hAnsi="Arial" w:cs="Arial"/>
          <w:b/>
          <w:bCs/>
          <w:color w:val="C45911" w:themeColor="accent2" w:themeShade="BF"/>
          <w:sz w:val="20"/>
          <w:szCs w:val="20"/>
        </w:rPr>
        <w:t>300 words limit</w:t>
      </w:r>
      <w:r w:rsidRPr="00942A9C">
        <w:rPr>
          <w:rFonts w:ascii="Arial" w:hAnsi="Arial" w:cs="Arial"/>
          <w:b/>
          <w:bCs/>
          <w:color w:val="C45911" w:themeColor="accent2" w:themeShade="BF"/>
          <w:sz w:val="20"/>
          <w:szCs w:val="20"/>
        </w:rPr>
        <w:t>)</w:t>
      </w:r>
    </w:p>
    <w:p w14:paraId="56DB7F2A" w14:textId="2F4D1451" w:rsidR="00942A9C" w:rsidRPr="004C243A" w:rsidRDefault="0051243B" w:rsidP="0051243B">
      <w:pPr>
        <w:jc w:val="both"/>
        <w:rPr>
          <w:rFonts w:ascii="Tw Cen MT" w:hAnsi="Tw Cen MT"/>
          <w:sz w:val="18"/>
          <w:szCs w:val="18"/>
        </w:rPr>
      </w:pPr>
      <w:r w:rsidRPr="004C243A">
        <w:rPr>
          <w:rFonts w:ascii="Tw Cen MT" w:hAnsi="Tw Cen MT"/>
          <w:sz w:val="18"/>
          <w:szCs w:val="18"/>
        </w:rPr>
        <w:t>Almost 7-8% of carbon dioxide emissions come from the cement and construction industries. The world seeks sustainable practices to reduce the carbon footprint of the cement and construction industries.</w:t>
      </w:r>
      <w:r w:rsidRPr="004C243A">
        <w:rPr>
          <w:rFonts w:ascii="Tw Cen MT" w:hAnsi="Tw Cen MT" w:cs="Arial"/>
          <w:b/>
          <w:bCs/>
          <w:color w:val="37AC8E"/>
          <w:sz w:val="18"/>
          <w:szCs w:val="18"/>
        </w:rPr>
        <w:t xml:space="preserve"> </w:t>
      </w:r>
      <w:r w:rsidRPr="004C243A">
        <w:rPr>
          <w:rFonts w:ascii="Tw Cen MT" w:hAnsi="Tw Cen MT"/>
          <w:sz w:val="18"/>
          <w:szCs w:val="18"/>
        </w:rPr>
        <w:t>Presently, geopolymer cement mortar and concrete were producing by using industrial wastes like fly ash, GGBS, and silica fume. The geopolymer cement mortar production may not possible if the industry closes. Due to the high amount of SiO</w:t>
      </w:r>
      <w:r w:rsidRPr="004C243A">
        <w:rPr>
          <w:rFonts w:ascii="Tw Cen MT" w:hAnsi="Tw Cen MT"/>
          <w:sz w:val="18"/>
          <w:szCs w:val="18"/>
          <w:vertAlign w:val="subscript"/>
        </w:rPr>
        <w:t xml:space="preserve">2 </w:t>
      </w:r>
      <w:r w:rsidRPr="004C243A">
        <w:rPr>
          <w:rFonts w:ascii="Tw Cen MT" w:hAnsi="Tw Cen MT"/>
          <w:sz w:val="18"/>
          <w:szCs w:val="18"/>
        </w:rPr>
        <w:t xml:space="preserve">presence, bentonite is a naturally usable pozzolanic material. The purpose of this study is to optimize the </w:t>
      </w:r>
      <w:r w:rsidR="00163988">
        <w:rPr>
          <w:rFonts w:ascii="Tw Cen MT" w:hAnsi="Tw Cen MT"/>
          <w:sz w:val="18"/>
          <w:szCs w:val="18"/>
        </w:rPr>
        <w:t>strength and mechanical</w:t>
      </w:r>
      <w:r w:rsidRPr="004C243A">
        <w:rPr>
          <w:rFonts w:ascii="Tw Cen MT" w:hAnsi="Tw Cen MT"/>
          <w:sz w:val="18"/>
          <w:szCs w:val="18"/>
        </w:rPr>
        <w:t xml:space="preserve"> properties of geopolymer cement mortar</w:t>
      </w:r>
      <w:r w:rsidR="00163988">
        <w:rPr>
          <w:rFonts w:ascii="Tw Cen MT" w:hAnsi="Tw Cen MT"/>
          <w:sz w:val="18"/>
          <w:szCs w:val="18"/>
        </w:rPr>
        <w:t xml:space="preserve"> made with bentonite</w:t>
      </w:r>
      <w:r w:rsidRPr="004C243A">
        <w:rPr>
          <w:rFonts w:ascii="Tw Cen MT" w:hAnsi="Tw Cen MT"/>
          <w:sz w:val="18"/>
          <w:szCs w:val="18"/>
        </w:rPr>
        <w:t>. The variables are five levels of alkaline activator (6M, 8M,10M, 12M, and 16M)</w:t>
      </w:r>
      <w:r w:rsidR="00163988">
        <w:rPr>
          <w:rFonts w:ascii="Tw Cen MT" w:hAnsi="Tw Cen MT"/>
          <w:sz w:val="18"/>
          <w:szCs w:val="18"/>
        </w:rPr>
        <w:t>, three levels of NaOH/Na</w:t>
      </w:r>
      <w:r w:rsidR="00163988" w:rsidRPr="00163988">
        <w:rPr>
          <w:rFonts w:ascii="Tw Cen MT" w:hAnsi="Tw Cen MT"/>
          <w:sz w:val="18"/>
          <w:szCs w:val="18"/>
          <w:vertAlign w:val="subscript"/>
        </w:rPr>
        <w:t>2</w:t>
      </w:r>
      <w:r w:rsidR="00163988">
        <w:rPr>
          <w:rFonts w:ascii="Tw Cen MT" w:hAnsi="Tw Cen MT"/>
          <w:sz w:val="18"/>
          <w:szCs w:val="18"/>
        </w:rPr>
        <w:t>SiO</w:t>
      </w:r>
      <w:r w:rsidR="00163988" w:rsidRPr="00163988">
        <w:rPr>
          <w:rFonts w:ascii="Tw Cen MT" w:hAnsi="Tw Cen MT"/>
          <w:sz w:val="18"/>
          <w:szCs w:val="18"/>
          <w:vertAlign w:val="subscript"/>
        </w:rPr>
        <w:t>3</w:t>
      </w:r>
      <w:r w:rsidRPr="004C243A">
        <w:rPr>
          <w:rFonts w:ascii="Tw Cen MT" w:hAnsi="Tw Cen MT"/>
          <w:sz w:val="18"/>
          <w:szCs w:val="18"/>
        </w:rPr>
        <w:t xml:space="preserve"> </w:t>
      </w:r>
      <w:r w:rsidR="00163988">
        <w:rPr>
          <w:rFonts w:ascii="Tw Cen MT" w:hAnsi="Tw Cen MT"/>
          <w:sz w:val="18"/>
          <w:szCs w:val="18"/>
        </w:rPr>
        <w:t>ratio (</w:t>
      </w:r>
      <w:r w:rsidR="00A900D7">
        <w:rPr>
          <w:rFonts w:ascii="Tw Cen MT" w:hAnsi="Tw Cen MT"/>
          <w:sz w:val="18"/>
          <w:szCs w:val="18"/>
        </w:rPr>
        <w:t>1, 1.25, and 1.5</w:t>
      </w:r>
      <w:r w:rsidR="00163988">
        <w:rPr>
          <w:rFonts w:ascii="Tw Cen MT" w:hAnsi="Tw Cen MT"/>
          <w:sz w:val="18"/>
          <w:szCs w:val="18"/>
        </w:rPr>
        <w:t xml:space="preserve">) </w:t>
      </w:r>
      <w:r w:rsidRPr="004C243A">
        <w:rPr>
          <w:rFonts w:ascii="Tw Cen MT" w:hAnsi="Tw Cen MT"/>
          <w:sz w:val="18"/>
          <w:szCs w:val="18"/>
        </w:rPr>
        <w:t xml:space="preserve">and three levels of </w:t>
      </w:r>
      <w:r w:rsidR="00163988">
        <w:rPr>
          <w:rFonts w:ascii="Tw Cen MT" w:hAnsi="Tw Cen MT"/>
          <w:sz w:val="18"/>
          <w:szCs w:val="18"/>
        </w:rPr>
        <w:t>bentonite/SiO</w:t>
      </w:r>
      <w:r w:rsidR="00163988" w:rsidRPr="00163988">
        <w:rPr>
          <w:rFonts w:ascii="Tw Cen MT" w:hAnsi="Tw Cen MT"/>
          <w:sz w:val="18"/>
          <w:szCs w:val="18"/>
          <w:vertAlign w:val="subscript"/>
        </w:rPr>
        <w:t>2</w:t>
      </w:r>
      <w:r w:rsidRPr="004C243A">
        <w:rPr>
          <w:rFonts w:ascii="Tw Cen MT" w:hAnsi="Tw Cen MT"/>
          <w:sz w:val="18"/>
          <w:szCs w:val="18"/>
        </w:rPr>
        <w:t xml:space="preserve"> </w:t>
      </w:r>
      <w:r w:rsidR="00163988">
        <w:rPr>
          <w:rFonts w:ascii="Tw Cen MT" w:hAnsi="Tw Cen MT"/>
          <w:sz w:val="18"/>
          <w:szCs w:val="18"/>
        </w:rPr>
        <w:t xml:space="preserve">ratio </w:t>
      </w:r>
      <w:r w:rsidRPr="004C243A">
        <w:rPr>
          <w:rFonts w:ascii="Tw Cen MT" w:hAnsi="Tw Cen MT"/>
          <w:sz w:val="18"/>
          <w:szCs w:val="18"/>
        </w:rPr>
        <w:t>(</w:t>
      </w:r>
      <w:r w:rsidR="00163988">
        <w:rPr>
          <w:rFonts w:ascii="Tw Cen MT" w:hAnsi="Tw Cen MT"/>
          <w:sz w:val="18"/>
          <w:szCs w:val="18"/>
        </w:rPr>
        <w:t>0.1,0.2 and 0.3</w:t>
      </w:r>
      <w:r w:rsidRPr="004C243A">
        <w:rPr>
          <w:rFonts w:ascii="Tw Cen MT" w:hAnsi="Tw Cen MT"/>
          <w:sz w:val="18"/>
          <w:szCs w:val="18"/>
        </w:rPr>
        <w:t xml:space="preserve">). The </w:t>
      </w:r>
      <w:r w:rsidR="00A900D7">
        <w:rPr>
          <w:rFonts w:ascii="Tw Cen MT" w:hAnsi="Tw Cen MT"/>
          <w:sz w:val="18"/>
          <w:szCs w:val="18"/>
        </w:rPr>
        <w:t xml:space="preserve">tests were conducted to evaluate </w:t>
      </w:r>
      <w:r w:rsidRPr="004C243A">
        <w:rPr>
          <w:rFonts w:ascii="Tw Cen MT" w:hAnsi="Tw Cen MT"/>
          <w:sz w:val="18"/>
          <w:szCs w:val="18"/>
        </w:rPr>
        <w:t>fresh properties (normal consistency, setting times, and workability) and hardened properties (compressive strength, strength activity index, and sorpitivity)</w:t>
      </w:r>
      <w:r w:rsidR="00A900D7">
        <w:rPr>
          <w:rFonts w:ascii="Tw Cen MT" w:hAnsi="Tw Cen MT"/>
          <w:sz w:val="18"/>
          <w:szCs w:val="18"/>
        </w:rPr>
        <w:t>. The m</w:t>
      </w:r>
      <w:r w:rsidRPr="004C243A">
        <w:rPr>
          <w:rFonts w:ascii="Tw Cen MT" w:hAnsi="Tw Cen MT"/>
          <w:sz w:val="18"/>
          <w:szCs w:val="18"/>
        </w:rPr>
        <w:t xml:space="preserve">odeling and optimization of </w:t>
      </w:r>
      <w:r w:rsidR="00A900D7">
        <w:rPr>
          <w:rFonts w:ascii="Tw Cen MT" w:hAnsi="Tw Cen MT"/>
          <w:sz w:val="18"/>
          <w:szCs w:val="18"/>
        </w:rPr>
        <w:t>was</w:t>
      </w:r>
      <w:r w:rsidRPr="004C243A">
        <w:rPr>
          <w:rFonts w:ascii="Tw Cen MT" w:hAnsi="Tw Cen MT"/>
          <w:sz w:val="18"/>
          <w:szCs w:val="18"/>
        </w:rPr>
        <w:t xml:space="preserve"> done by considering the variables and responses using Design Expert software.</w:t>
      </w:r>
    </w:p>
    <w:p w14:paraId="4909F3D7" w14:textId="6B329EB4" w:rsidR="00942A9C" w:rsidRDefault="00942A9C" w:rsidP="00942A9C">
      <w:pPr>
        <w:pStyle w:val="Heading2"/>
        <w:rPr>
          <w:rFonts w:ascii="Arial" w:hAnsi="Arial" w:cs="Arial"/>
          <w:b/>
          <w:bCs/>
          <w:color w:val="C45911" w:themeColor="accent2" w:themeShade="BF"/>
          <w:sz w:val="20"/>
          <w:szCs w:val="20"/>
        </w:rPr>
      </w:pPr>
      <w:r w:rsidRPr="00942A9C">
        <w:rPr>
          <w:rFonts w:ascii="Arial" w:hAnsi="Arial" w:cs="Arial"/>
          <w:b/>
          <w:bCs/>
          <w:color w:val="C45911" w:themeColor="accent2" w:themeShade="BF"/>
          <w:sz w:val="20"/>
          <w:szCs w:val="20"/>
        </w:rPr>
        <w:t>Recent Publications (Minimum 5)</w:t>
      </w:r>
    </w:p>
    <w:p w14:paraId="200853CD" w14:textId="278FD534" w:rsidR="00942A9C" w:rsidRPr="002B3F1D" w:rsidRDefault="00942A9C" w:rsidP="002B3F1D">
      <w:pPr>
        <w:spacing w:after="0" w:line="240" w:lineRule="auto"/>
        <w:jc w:val="both"/>
        <w:rPr>
          <w:rFonts w:ascii="Calibri" w:hAnsi="Calibri" w:cs="Calibri"/>
          <w:bCs/>
          <w:sz w:val="18"/>
          <w:szCs w:val="18"/>
        </w:rPr>
      </w:pPr>
      <w:r w:rsidRPr="002B3F1D">
        <w:rPr>
          <w:rFonts w:ascii="Calibri" w:hAnsi="Calibri" w:cs="Calibri"/>
          <w:bCs/>
          <w:sz w:val="18"/>
          <w:szCs w:val="18"/>
        </w:rPr>
        <w:t xml:space="preserve">[1] M. Achyutha Kumar Reddy, V. Ranga </w:t>
      </w:r>
      <w:proofErr w:type="gramStart"/>
      <w:r w:rsidRPr="002B3F1D">
        <w:rPr>
          <w:rFonts w:ascii="Calibri" w:hAnsi="Calibri" w:cs="Calibri"/>
          <w:bCs/>
          <w:sz w:val="18"/>
          <w:szCs w:val="18"/>
        </w:rPr>
        <w:t>Rao</w:t>
      </w:r>
      <w:proofErr w:type="gramEnd"/>
      <w:r w:rsidRPr="002B3F1D">
        <w:rPr>
          <w:rFonts w:ascii="Calibri" w:hAnsi="Calibri" w:cs="Calibri"/>
          <w:bCs/>
          <w:sz w:val="18"/>
          <w:szCs w:val="18"/>
        </w:rPr>
        <w:t xml:space="preserve"> and </w:t>
      </w:r>
      <w:proofErr w:type="spellStart"/>
      <w:r w:rsidRPr="002B3F1D">
        <w:rPr>
          <w:rFonts w:ascii="Calibri" w:hAnsi="Calibri" w:cs="Calibri"/>
          <w:bCs/>
          <w:sz w:val="18"/>
          <w:szCs w:val="18"/>
        </w:rPr>
        <w:t>Veerendrakumar</w:t>
      </w:r>
      <w:proofErr w:type="spellEnd"/>
      <w:r w:rsidRPr="002B3F1D">
        <w:rPr>
          <w:rFonts w:ascii="Calibri" w:hAnsi="Calibri" w:cs="Calibri"/>
          <w:bCs/>
          <w:sz w:val="18"/>
          <w:szCs w:val="18"/>
        </w:rPr>
        <w:t xml:space="preserve"> C </w:t>
      </w:r>
      <w:proofErr w:type="spellStart"/>
      <w:r w:rsidRPr="002B3F1D">
        <w:rPr>
          <w:rFonts w:ascii="Calibri" w:hAnsi="Calibri" w:cs="Calibri"/>
          <w:bCs/>
          <w:sz w:val="18"/>
          <w:szCs w:val="18"/>
        </w:rPr>
        <w:t>Khed</w:t>
      </w:r>
      <w:proofErr w:type="spellEnd"/>
      <w:r w:rsidRPr="002B3F1D">
        <w:rPr>
          <w:rFonts w:ascii="Calibri" w:hAnsi="Calibri" w:cs="Calibri"/>
          <w:bCs/>
          <w:sz w:val="18"/>
          <w:szCs w:val="18"/>
        </w:rPr>
        <w:t>. Optimization of Bentocrete parameters using Response Surface Methodology (RSM), AIMS Material Science, vol. 8, No. 2, 241-246,2021.</w:t>
      </w:r>
    </w:p>
    <w:p w14:paraId="531A8089" w14:textId="7A3769BC" w:rsidR="00942A9C" w:rsidRDefault="00942A9C" w:rsidP="002B3F1D">
      <w:pPr>
        <w:spacing w:after="0" w:line="240" w:lineRule="auto"/>
        <w:jc w:val="both"/>
        <w:rPr>
          <w:rFonts w:ascii="Calibri" w:hAnsi="Calibri" w:cs="Calibri"/>
          <w:bCs/>
          <w:sz w:val="18"/>
          <w:szCs w:val="18"/>
        </w:rPr>
      </w:pPr>
      <w:r w:rsidRPr="002B3F1D">
        <w:rPr>
          <w:rFonts w:ascii="Calibri" w:hAnsi="Calibri" w:cs="Calibri"/>
          <w:bCs/>
          <w:sz w:val="18"/>
          <w:szCs w:val="18"/>
        </w:rPr>
        <w:t xml:space="preserve">[2] S. </w:t>
      </w:r>
      <w:proofErr w:type="spellStart"/>
      <w:r w:rsidRPr="002B3F1D">
        <w:rPr>
          <w:rFonts w:ascii="Calibri" w:hAnsi="Calibri" w:cs="Calibri"/>
          <w:bCs/>
          <w:sz w:val="18"/>
          <w:szCs w:val="18"/>
        </w:rPr>
        <w:t>Sahith</w:t>
      </w:r>
      <w:proofErr w:type="spellEnd"/>
      <w:r w:rsidRPr="002B3F1D">
        <w:rPr>
          <w:rFonts w:ascii="Calibri" w:hAnsi="Calibri" w:cs="Calibri"/>
          <w:bCs/>
          <w:sz w:val="18"/>
          <w:szCs w:val="18"/>
        </w:rPr>
        <w:t xml:space="preserve"> Reddy and M. Achyutha Kumar Reddy. Optimization of Calcined Bentonite Clay Utilization in Cement Mortar using Response Surface Methodology, IJE Transactions A: Basics, vol. 34, No. 7, 184-191, 2021.</w:t>
      </w:r>
    </w:p>
    <w:p w14:paraId="3AE038B3" w14:textId="77777777" w:rsidR="002B3F1D" w:rsidRPr="002B3F1D" w:rsidRDefault="002B3F1D" w:rsidP="002B3F1D">
      <w:pPr>
        <w:spacing w:after="0" w:line="240" w:lineRule="auto"/>
        <w:jc w:val="both"/>
        <w:rPr>
          <w:rFonts w:ascii="Calibri" w:hAnsi="Calibri" w:cs="Calibri"/>
          <w:bCs/>
          <w:sz w:val="18"/>
          <w:szCs w:val="18"/>
        </w:rPr>
      </w:pPr>
    </w:p>
    <w:p w14:paraId="738B9AC3" w14:textId="46EBF7FB" w:rsidR="00F40FFA" w:rsidRDefault="00F40FFA" w:rsidP="002B3F1D">
      <w:pPr>
        <w:spacing w:after="0" w:line="240" w:lineRule="auto"/>
        <w:jc w:val="both"/>
        <w:rPr>
          <w:rFonts w:ascii="Calibri" w:hAnsi="Calibri" w:cs="Calibri"/>
          <w:bCs/>
          <w:sz w:val="18"/>
          <w:szCs w:val="18"/>
        </w:rPr>
      </w:pPr>
      <w:r w:rsidRPr="002B3F1D">
        <w:rPr>
          <w:rFonts w:ascii="Calibri" w:hAnsi="Calibri" w:cs="Calibri"/>
          <w:bCs/>
          <w:sz w:val="18"/>
          <w:szCs w:val="18"/>
        </w:rPr>
        <w:t xml:space="preserve">[3] B. </w:t>
      </w:r>
      <w:proofErr w:type="spellStart"/>
      <w:r w:rsidRPr="002B3F1D">
        <w:rPr>
          <w:rFonts w:ascii="Calibri" w:hAnsi="Calibri" w:cs="Calibri"/>
          <w:bCs/>
          <w:sz w:val="18"/>
          <w:szCs w:val="18"/>
        </w:rPr>
        <w:t>Kameswara</w:t>
      </w:r>
      <w:proofErr w:type="spellEnd"/>
      <w:r w:rsidRPr="002B3F1D">
        <w:rPr>
          <w:rFonts w:ascii="Calibri" w:hAnsi="Calibri" w:cs="Calibri"/>
          <w:bCs/>
          <w:sz w:val="18"/>
          <w:szCs w:val="18"/>
        </w:rPr>
        <w:t xml:space="preserve"> Rao, M. Achyutha Kumar Reddy and A. </w:t>
      </w:r>
      <w:proofErr w:type="spellStart"/>
      <w:r w:rsidRPr="002B3F1D">
        <w:rPr>
          <w:rFonts w:ascii="Calibri" w:hAnsi="Calibri" w:cs="Calibri"/>
          <w:bCs/>
          <w:sz w:val="18"/>
          <w:szCs w:val="18"/>
        </w:rPr>
        <w:t>Venkateswara</w:t>
      </w:r>
      <w:proofErr w:type="spellEnd"/>
      <w:r w:rsidRPr="002B3F1D">
        <w:rPr>
          <w:rFonts w:ascii="Calibri" w:hAnsi="Calibri" w:cs="Calibri"/>
          <w:bCs/>
          <w:sz w:val="18"/>
          <w:szCs w:val="18"/>
        </w:rPr>
        <w:t xml:space="preserve"> Rao. Effect of </w:t>
      </w:r>
      <w:proofErr w:type="spellStart"/>
      <w:r w:rsidRPr="002B3F1D">
        <w:rPr>
          <w:rFonts w:ascii="Calibri" w:hAnsi="Calibri" w:cs="Calibri"/>
          <w:bCs/>
          <w:sz w:val="18"/>
          <w:szCs w:val="18"/>
        </w:rPr>
        <w:t>flyash</w:t>
      </w:r>
      <w:proofErr w:type="spellEnd"/>
      <w:r w:rsidRPr="002B3F1D">
        <w:rPr>
          <w:rFonts w:ascii="Calibri" w:hAnsi="Calibri" w:cs="Calibri"/>
          <w:bCs/>
          <w:sz w:val="18"/>
          <w:szCs w:val="18"/>
        </w:rPr>
        <w:t xml:space="preserve"> as cement replacement material and pore filling material in concrete, Materials today: Proceedings, </w:t>
      </w:r>
      <w:hyperlink r:id="rId4" w:history="1">
        <w:r w:rsidRPr="002B3F1D">
          <w:rPr>
            <w:rStyle w:val="Hyperlink"/>
            <w:rFonts w:ascii="Calibri" w:hAnsi="Calibri" w:cs="Calibri"/>
            <w:bCs/>
            <w:sz w:val="18"/>
            <w:szCs w:val="18"/>
          </w:rPr>
          <w:t>https://doi.org/10.1016/j.matpr.2021.11.444</w:t>
        </w:r>
      </w:hyperlink>
      <w:r w:rsidRPr="002B3F1D">
        <w:rPr>
          <w:rFonts w:ascii="Calibri" w:hAnsi="Calibri" w:cs="Calibri"/>
          <w:bCs/>
          <w:sz w:val="18"/>
          <w:szCs w:val="18"/>
        </w:rPr>
        <w:t>, 2021</w:t>
      </w:r>
    </w:p>
    <w:p w14:paraId="65952090" w14:textId="77777777" w:rsidR="002B3F1D" w:rsidRPr="002B3F1D" w:rsidRDefault="002B3F1D" w:rsidP="002B3F1D">
      <w:pPr>
        <w:spacing w:after="0" w:line="240" w:lineRule="auto"/>
        <w:jc w:val="both"/>
        <w:rPr>
          <w:rFonts w:ascii="Calibri" w:hAnsi="Calibri" w:cs="Calibri"/>
          <w:bCs/>
          <w:sz w:val="18"/>
          <w:szCs w:val="18"/>
        </w:rPr>
      </w:pPr>
    </w:p>
    <w:p w14:paraId="7584F1B5" w14:textId="250F1FFD" w:rsidR="00942A9C" w:rsidRDefault="00942A9C" w:rsidP="002B3F1D">
      <w:pPr>
        <w:spacing w:after="0" w:line="240" w:lineRule="auto"/>
        <w:jc w:val="both"/>
        <w:rPr>
          <w:rFonts w:ascii="Calibri" w:hAnsi="Calibri" w:cs="Calibri"/>
          <w:bCs/>
          <w:sz w:val="18"/>
          <w:szCs w:val="18"/>
        </w:rPr>
      </w:pPr>
      <w:r w:rsidRPr="002B3F1D">
        <w:rPr>
          <w:rFonts w:ascii="Calibri" w:hAnsi="Calibri" w:cs="Calibri"/>
          <w:bCs/>
          <w:sz w:val="18"/>
          <w:szCs w:val="18"/>
        </w:rPr>
        <w:t>[</w:t>
      </w:r>
      <w:r w:rsidR="00F40FFA" w:rsidRPr="002B3F1D">
        <w:rPr>
          <w:rFonts w:ascii="Calibri" w:hAnsi="Calibri" w:cs="Calibri"/>
          <w:bCs/>
          <w:sz w:val="18"/>
          <w:szCs w:val="18"/>
        </w:rPr>
        <w:t>4</w:t>
      </w:r>
      <w:r w:rsidRPr="002B3F1D">
        <w:rPr>
          <w:rFonts w:ascii="Calibri" w:hAnsi="Calibri" w:cs="Calibri"/>
          <w:bCs/>
          <w:sz w:val="18"/>
          <w:szCs w:val="18"/>
        </w:rPr>
        <w:t xml:space="preserve">] M. Achyutha Kumar Reddy, V. Ranga </w:t>
      </w:r>
      <w:proofErr w:type="gramStart"/>
      <w:r w:rsidRPr="002B3F1D">
        <w:rPr>
          <w:rFonts w:ascii="Calibri" w:hAnsi="Calibri" w:cs="Calibri"/>
          <w:bCs/>
          <w:sz w:val="18"/>
          <w:szCs w:val="18"/>
        </w:rPr>
        <w:t>Rao</w:t>
      </w:r>
      <w:proofErr w:type="gramEnd"/>
      <w:r w:rsidRPr="002B3F1D">
        <w:rPr>
          <w:rFonts w:ascii="Calibri" w:hAnsi="Calibri" w:cs="Calibri"/>
          <w:bCs/>
          <w:sz w:val="18"/>
          <w:szCs w:val="18"/>
        </w:rPr>
        <w:t xml:space="preserve"> and </w:t>
      </w:r>
      <w:proofErr w:type="spellStart"/>
      <w:r w:rsidRPr="002B3F1D">
        <w:rPr>
          <w:rFonts w:ascii="Calibri" w:hAnsi="Calibri" w:cs="Calibri"/>
          <w:bCs/>
          <w:sz w:val="18"/>
          <w:szCs w:val="18"/>
        </w:rPr>
        <w:t>Veerendrakumar</w:t>
      </w:r>
      <w:proofErr w:type="spellEnd"/>
      <w:r w:rsidRPr="002B3F1D">
        <w:rPr>
          <w:rFonts w:ascii="Calibri" w:hAnsi="Calibri" w:cs="Calibri"/>
          <w:bCs/>
          <w:sz w:val="18"/>
          <w:szCs w:val="18"/>
        </w:rPr>
        <w:t xml:space="preserve"> C </w:t>
      </w:r>
      <w:proofErr w:type="spellStart"/>
      <w:r w:rsidRPr="002B3F1D">
        <w:rPr>
          <w:rFonts w:ascii="Calibri" w:hAnsi="Calibri" w:cs="Calibri"/>
          <w:bCs/>
          <w:sz w:val="18"/>
          <w:szCs w:val="18"/>
        </w:rPr>
        <w:t>Khed</w:t>
      </w:r>
      <w:proofErr w:type="spellEnd"/>
      <w:r w:rsidRPr="002B3F1D">
        <w:rPr>
          <w:rFonts w:ascii="Calibri" w:hAnsi="Calibri" w:cs="Calibri"/>
          <w:bCs/>
          <w:sz w:val="18"/>
          <w:szCs w:val="18"/>
        </w:rPr>
        <w:t>. Optimization of calcined bentonite utilization in cement concrete using Response Surface Methodology, International Journal of Engineering Trends and Technology, vol. 69, No. 3, 172-179, 2021.</w:t>
      </w:r>
    </w:p>
    <w:p w14:paraId="504AE10F" w14:textId="77777777" w:rsidR="002B3F1D" w:rsidRPr="002B3F1D" w:rsidRDefault="002B3F1D" w:rsidP="002B3F1D">
      <w:pPr>
        <w:spacing w:after="0" w:line="240" w:lineRule="auto"/>
        <w:jc w:val="both"/>
        <w:rPr>
          <w:rFonts w:ascii="Calibri" w:hAnsi="Calibri" w:cs="Calibri"/>
          <w:bCs/>
          <w:sz w:val="18"/>
          <w:szCs w:val="18"/>
        </w:rPr>
      </w:pPr>
    </w:p>
    <w:p w14:paraId="03BA4CF9" w14:textId="63A8E679" w:rsidR="006D661B" w:rsidRDefault="006D661B" w:rsidP="002B3F1D">
      <w:pPr>
        <w:spacing w:after="0" w:line="240" w:lineRule="auto"/>
        <w:jc w:val="both"/>
        <w:rPr>
          <w:rFonts w:ascii="Calibri" w:hAnsi="Calibri" w:cs="Calibri"/>
          <w:bCs/>
          <w:sz w:val="18"/>
          <w:szCs w:val="18"/>
        </w:rPr>
      </w:pPr>
      <w:r w:rsidRPr="002B3F1D">
        <w:rPr>
          <w:rFonts w:ascii="Calibri" w:hAnsi="Calibri" w:cs="Calibri"/>
          <w:bCs/>
          <w:sz w:val="18"/>
          <w:szCs w:val="18"/>
        </w:rPr>
        <w:t>[</w:t>
      </w:r>
      <w:r w:rsidR="00F40FFA" w:rsidRPr="002B3F1D">
        <w:rPr>
          <w:rFonts w:ascii="Calibri" w:hAnsi="Calibri" w:cs="Calibri"/>
          <w:bCs/>
          <w:sz w:val="18"/>
          <w:szCs w:val="18"/>
        </w:rPr>
        <w:t>5</w:t>
      </w:r>
      <w:r w:rsidRPr="002B3F1D">
        <w:rPr>
          <w:rFonts w:ascii="Calibri" w:hAnsi="Calibri" w:cs="Calibri"/>
          <w:bCs/>
          <w:sz w:val="18"/>
          <w:szCs w:val="18"/>
        </w:rPr>
        <w:t xml:space="preserve">] S. </w:t>
      </w:r>
      <w:proofErr w:type="spellStart"/>
      <w:r w:rsidRPr="002B3F1D">
        <w:rPr>
          <w:rFonts w:ascii="Calibri" w:hAnsi="Calibri" w:cs="Calibri"/>
          <w:bCs/>
          <w:sz w:val="18"/>
          <w:szCs w:val="18"/>
        </w:rPr>
        <w:t>Sahith</w:t>
      </w:r>
      <w:proofErr w:type="spellEnd"/>
      <w:r w:rsidRPr="002B3F1D">
        <w:rPr>
          <w:rFonts w:ascii="Calibri" w:hAnsi="Calibri" w:cs="Calibri"/>
          <w:bCs/>
          <w:sz w:val="18"/>
          <w:szCs w:val="18"/>
        </w:rPr>
        <w:t xml:space="preserve"> Reddy and M. Achyutha Kumar Reddy. Lime Calcined Clay Cement (LC3): A Review, IOP Conf. Series: Earth and Environmental Science, 796, 012037, 2021.</w:t>
      </w:r>
    </w:p>
    <w:p w14:paraId="619E8A9E" w14:textId="77777777" w:rsidR="002B3F1D" w:rsidRPr="002B3F1D" w:rsidRDefault="002B3F1D" w:rsidP="002B3F1D">
      <w:pPr>
        <w:spacing w:after="0" w:line="240" w:lineRule="auto"/>
        <w:jc w:val="both"/>
        <w:rPr>
          <w:rFonts w:ascii="Calibri" w:hAnsi="Calibri" w:cs="Calibri"/>
          <w:bCs/>
          <w:sz w:val="18"/>
          <w:szCs w:val="18"/>
        </w:rPr>
      </w:pPr>
    </w:p>
    <w:p w14:paraId="1D27B058" w14:textId="1A38C75C" w:rsidR="006D661B" w:rsidRDefault="006D661B" w:rsidP="002B3F1D">
      <w:pPr>
        <w:spacing w:after="0" w:line="240" w:lineRule="auto"/>
        <w:jc w:val="both"/>
        <w:rPr>
          <w:rFonts w:ascii="Calibri" w:hAnsi="Calibri" w:cs="Calibri"/>
          <w:bCs/>
          <w:sz w:val="18"/>
          <w:szCs w:val="18"/>
        </w:rPr>
      </w:pPr>
      <w:r w:rsidRPr="002B3F1D">
        <w:rPr>
          <w:rFonts w:ascii="Calibri" w:hAnsi="Calibri" w:cs="Calibri"/>
          <w:bCs/>
          <w:sz w:val="18"/>
          <w:szCs w:val="18"/>
        </w:rPr>
        <w:t>[</w:t>
      </w:r>
      <w:r w:rsidR="00F40FFA" w:rsidRPr="002B3F1D">
        <w:rPr>
          <w:rFonts w:ascii="Calibri" w:hAnsi="Calibri" w:cs="Calibri"/>
          <w:bCs/>
          <w:sz w:val="18"/>
          <w:szCs w:val="18"/>
        </w:rPr>
        <w:t>6</w:t>
      </w:r>
      <w:r w:rsidRPr="002B3F1D">
        <w:rPr>
          <w:rFonts w:ascii="Calibri" w:hAnsi="Calibri" w:cs="Calibri"/>
          <w:bCs/>
          <w:sz w:val="18"/>
          <w:szCs w:val="18"/>
        </w:rPr>
        <w:t xml:space="preserve">] A. </w:t>
      </w:r>
      <w:proofErr w:type="spellStart"/>
      <w:r w:rsidRPr="002B3F1D">
        <w:rPr>
          <w:rFonts w:ascii="Calibri" w:hAnsi="Calibri" w:cs="Calibri"/>
          <w:bCs/>
          <w:sz w:val="18"/>
          <w:szCs w:val="18"/>
        </w:rPr>
        <w:t>Venkateswara</w:t>
      </w:r>
      <w:proofErr w:type="spellEnd"/>
      <w:r w:rsidRPr="002B3F1D">
        <w:rPr>
          <w:rFonts w:ascii="Calibri" w:hAnsi="Calibri" w:cs="Calibri"/>
          <w:bCs/>
          <w:sz w:val="18"/>
          <w:szCs w:val="18"/>
        </w:rPr>
        <w:t xml:space="preserve"> Rao and M. Achyutha Kumar Reddy. </w:t>
      </w:r>
      <w:hyperlink r:id="rId5" w:history="1">
        <w:r w:rsidRPr="002B3F1D">
          <w:rPr>
            <w:rFonts w:ascii="Calibri" w:hAnsi="Calibri" w:cs="Calibri"/>
            <w:bCs/>
            <w:sz w:val="18"/>
            <w:szCs w:val="18"/>
          </w:rPr>
          <w:t>Performance of Concrete at Elevated Temperatures</w:t>
        </w:r>
      </w:hyperlink>
      <w:r w:rsidRPr="002B3F1D">
        <w:rPr>
          <w:rFonts w:ascii="Calibri" w:hAnsi="Calibri" w:cs="Calibri"/>
          <w:bCs/>
          <w:sz w:val="18"/>
          <w:szCs w:val="18"/>
        </w:rPr>
        <w:t>, IOP Conf. Series: Earth and Environmental Science, 796, 012038, 2021.</w:t>
      </w:r>
    </w:p>
    <w:p w14:paraId="0F44E6D9" w14:textId="77777777" w:rsidR="002B3F1D" w:rsidRPr="002B3F1D" w:rsidRDefault="002B3F1D" w:rsidP="002B3F1D">
      <w:pPr>
        <w:spacing w:after="0" w:line="240" w:lineRule="auto"/>
        <w:jc w:val="both"/>
        <w:rPr>
          <w:rFonts w:ascii="Calibri" w:hAnsi="Calibri" w:cs="Calibri"/>
          <w:bCs/>
          <w:sz w:val="18"/>
          <w:szCs w:val="18"/>
        </w:rPr>
      </w:pPr>
    </w:p>
    <w:p w14:paraId="0517163F" w14:textId="6158BED0" w:rsidR="006D661B" w:rsidRDefault="006D661B" w:rsidP="002B3F1D">
      <w:pPr>
        <w:spacing w:after="0" w:line="240" w:lineRule="auto"/>
        <w:jc w:val="both"/>
        <w:rPr>
          <w:rFonts w:ascii="Calibri" w:hAnsi="Calibri" w:cs="Calibri"/>
          <w:bCs/>
          <w:sz w:val="18"/>
          <w:szCs w:val="18"/>
        </w:rPr>
      </w:pPr>
      <w:r w:rsidRPr="002B3F1D">
        <w:rPr>
          <w:rFonts w:ascii="Calibri" w:hAnsi="Calibri" w:cs="Calibri"/>
          <w:bCs/>
          <w:sz w:val="18"/>
          <w:szCs w:val="18"/>
        </w:rPr>
        <w:t>[</w:t>
      </w:r>
      <w:r w:rsidR="00F40FFA" w:rsidRPr="002B3F1D">
        <w:rPr>
          <w:rFonts w:ascii="Calibri" w:hAnsi="Calibri" w:cs="Calibri"/>
          <w:bCs/>
          <w:sz w:val="18"/>
          <w:szCs w:val="18"/>
        </w:rPr>
        <w:t>7</w:t>
      </w:r>
      <w:r w:rsidRPr="002B3F1D">
        <w:rPr>
          <w:rFonts w:ascii="Calibri" w:hAnsi="Calibri" w:cs="Calibri"/>
          <w:bCs/>
          <w:sz w:val="18"/>
          <w:szCs w:val="18"/>
        </w:rPr>
        <w:t xml:space="preserve">] Ch. Vijay and M. Achyutha Kumar Reddy. Optimization of self-compacting concrete with high volume fly ash: Response Surface </w:t>
      </w:r>
      <w:proofErr w:type="spellStart"/>
      <w:r w:rsidRPr="002B3F1D">
        <w:rPr>
          <w:rFonts w:ascii="Calibri" w:hAnsi="Calibri" w:cs="Calibri"/>
          <w:bCs/>
          <w:sz w:val="18"/>
          <w:szCs w:val="18"/>
        </w:rPr>
        <w:t>Metodology</w:t>
      </w:r>
      <w:proofErr w:type="spellEnd"/>
      <w:r w:rsidRPr="002B3F1D">
        <w:rPr>
          <w:rFonts w:ascii="Calibri" w:hAnsi="Calibri" w:cs="Calibri"/>
          <w:bCs/>
          <w:sz w:val="18"/>
          <w:szCs w:val="18"/>
        </w:rPr>
        <w:t xml:space="preserve"> (RSM) Approach. Test Engineering and Management. 83, 15849-15858, 2020.</w:t>
      </w:r>
    </w:p>
    <w:p w14:paraId="249D234E" w14:textId="77777777" w:rsidR="002B3F1D" w:rsidRPr="002B3F1D" w:rsidRDefault="002B3F1D" w:rsidP="002B3F1D">
      <w:pPr>
        <w:spacing w:after="0" w:line="240" w:lineRule="auto"/>
        <w:jc w:val="both"/>
        <w:rPr>
          <w:rFonts w:ascii="Calibri" w:hAnsi="Calibri" w:cs="Calibri"/>
          <w:bCs/>
          <w:sz w:val="18"/>
          <w:szCs w:val="18"/>
        </w:rPr>
      </w:pPr>
    </w:p>
    <w:p w14:paraId="0C8F386A" w14:textId="14BEAD16" w:rsidR="006D661B" w:rsidRPr="002B3F1D" w:rsidRDefault="006D661B" w:rsidP="002B3F1D">
      <w:pPr>
        <w:spacing w:after="0" w:line="240" w:lineRule="auto"/>
        <w:jc w:val="both"/>
        <w:rPr>
          <w:rFonts w:ascii="Calibri" w:hAnsi="Calibri" w:cs="Calibri"/>
          <w:bCs/>
          <w:sz w:val="20"/>
          <w:szCs w:val="20"/>
        </w:rPr>
      </w:pPr>
      <w:r w:rsidRPr="002B3F1D">
        <w:rPr>
          <w:rFonts w:ascii="Calibri" w:hAnsi="Calibri" w:cs="Calibri"/>
          <w:bCs/>
          <w:sz w:val="18"/>
          <w:szCs w:val="18"/>
        </w:rPr>
        <w:t>[</w:t>
      </w:r>
      <w:r w:rsidR="00F40FFA" w:rsidRPr="002B3F1D">
        <w:rPr>
          <w:rFonts w:ascii="Calibri" w:hAnsi="Calibri" w:cs="Calibri"/>
          <w:bCs/>
          <w:sz w:val="18"/>
          <w:szCs w:val="18"/>
        </w:rPr>
        <w:t>8</w:t>
      </w:r>
      <w:r w:rsidRPr="002B3F1D">
        <w:rPr>
          <w:rFonts w:ascii="Calibri" w:hAnsi="Calibri" w:cs="Calibri"/>
          <w:bCs/>
          <w:sz w:val="18"/>
          <w:szCs w:val="18"/>
        </w:rPr>
        <w:t>] M. Achyutha Kumar Reddy and V. Ranga Rao. Utilization of bentonite in concrete: A Review. International Journal of Recent Technology and Engineering. 7(6C2), 541-545, 2019.</w:t>
      </w:r>
    </w:p>
    <w:p w14:paraId="2F3ED876" w14:textId="77777777" w:rsidR="004C243A" w:rsidRDefault="004C243A" w:rsidP="0051243B">
      <w:pPr>
        <w:pStyle w:val="Heading2"/>
        <w:rPr>
          <w:rFonts w:ascii="Arial" w:hAnsi="Arial" w:cs="Arial"/>
          <w:b/>
          <w:bCs/>
          <w:color w:val="C45911" w:themeColor="accent2" w:themeShade="BF"/>
          <w:sz w:val="20"/>
          <w:szCs w:val="20"/>
        </w:rPr>
        <w:sectPr w:rsidR="004C243A" w:rsidSect="004C243A">
          <w:type w:val="continuous"/>
          <w:pgSz w:w="12240" w:h="15840"/>
          <w:pgMar w:top="1728" w:right="720" w:bottom="720" w:left="720" w:header="720" w:footer="720" w:gutter="0"/>
          <w:cols w:num="2" w:space="720"/>
          <w:docGrid w:linePitch="360"/>
        </w:sectPr>
      </w:pPr>
    </w:p>
    <w:p w14:paraId="6A3A7A28" w14:textId="4A3ACECA" w:rsidR="0051243B" w:rsidRDefault="0051243B" w:rsidP="0051243B">
      <w:pPr>
        <w:pStyle w:val="Heading2"/>
        <w:rPr>
          <w:rFonts w:ascii="Arial" w:hAnsi="Arial" w:cs="Arial"/>
          <w:b/>
          <w:bCs/>
          <w:color w:val="C45911" w:themeColor="accent2" w:themeShade="BF"/>
          <w:sz w:val="20"/>
          <w:szCs w:val="20"/>
        </w:rPr>
      </w:pPr>
      <w:r>
        <w:rPr>
          <w:rFonts w:ascii="Arial" w:hAnsi="Arial" w:cs="Arial"/>
          <w:b/>
          <w:bCs/>
          <w:color w:val="C45911" w:themeColor="accent2" w:themeShade="BF"/>
          <w:sz w:val="20"/>
          <w:szCs w:val="20"/>
        </w:rPr>
        <w:t xml:space="preserve">Biography </w:t>
      </w:r>
      <w:r w:rsidRPr="00942A9C">
        <w:rPr>
          <w:rFonts w:ascii="Arial" w:hAnsi="Arial" w:cs="Arial"/>
          <w:b/>
          <w:bCs/>
          <w:color w:val="C45911" w:themeColor="accent2" w:themeShade="BF"/>
          <w:sz w:val="20"/>
          <w:szCs w:val="20"/>
        </w:rPr>
        <w:t>(</w:t>
      </w:r>
      <w:proofErr w:type="gramStart"/>
      <w:r>
        <w:rPr>
          <w:rFonts w:ascii="Arial" w:hAnsi="Arial" w:cs="Arial"/>
          <w:b/>
          <w:bCs/>
          <w:color w:val="C45911" w:themeColor="accent2" w:themeShade="BF"/>
          <w:sz w:val="20"/>
          <w:szCs w:val="20"/>
        </w:rPr>
        <w:t>150 word</w:t>
      </w:r>
      <w:proofErr w:type="gramEnd"/>
      <w:r>
        <w:rPr>
          <w:rFonts w:ascii="Arial" w:hAnsi="Arial" w:cs="Arial"/>
          <w:b/>
          <w:bCs/>
          <w:color w:val="C45911" w:themeColor="accent2" w:themeShade="BF"/>
          <w:sz w:val="20"/>
          <w:szCs w:val="20"/>
        </w:rPr>
        <w:t xml:space="preserve"> limit</w:t>
      </w:r>
      <w:r w:rsidRPr="00942A9C">
        <w:rPr>
          <w:rFonts w:ascii="Arial" w:hAnsi="Arial" w:cs="Arial"/>
          <w:b/>
          <w:bCs/>
          <w:color w:val="C45911" w:themeColor="accent2" w:themeShade="BF"/>
          <w:sz w:val="20"/>
          <w:szCs w:val="20"/>
        </w:rPr>
        <w:t>)</w:t>
      </w:r>
    </w:p>
    <w:p w14:paraId="4D1BFC7D" w14:textId="17FB582E" w:rsidR="0051243B" w:rsidRPr="002B3F1D" w:rsidRDefault="004C243A" w:rsidP="00306F03">
      <w:pPr>
        <w:spacing w:line="240" w:lineRule="auto"/>
        <w:rPr>
          <w:rFonts w:ascii="Arial" w:hAnsi="Arial" w:cs="Arial"/>
          <w:sz w:val="14"/>
          <w:szCs w:val="14"/>
        </w:rPr>
      </w:pPr>
      <w:r w:rsidRPr="002B3F1D">
        <w:rPr>
          <w:rFonts w:ascii="Arial" w:hAnsi="Arial" w:cs="Arial"/>
          <w:sz w:val="14"/>
          <w:szCs w:val="14"/>
        </w:rPr>
        <w:t>M. Achyutha Kumar Reddy working as Assistant Professor, Department of Civil Engineering, K L Deemed to be University, India.</w:t>
      </w:r>
      <w:r w:rsidR="00FC24A8" w:rsidRPr="00FC24A8">
        <w:rPr>
          <w:rFonts w:ascii="Arial" w:hAnsi="Arial" w:cs="Arial"/>
          <w:sz w:val="14"/>
          <w:szCs w:val="14"/>
        </w:rPr>
        <w:t xml:space="preserve"> </w:t>
      </w:r>
      <w:r w:rsidR="00FC24A8">
        <w:rPr>
          <w:rFonts w:ascii="Arial" w:hAnsi="Arial" w:cs="Arial"/>
          <w:sz w:val="14"/>
          <w:szCs w:val="14"/>
        </w:rPr>
        <w:t>He is fellow of The Institute of Engineers (India) and</w:t>
      </w:r>
      <w:r w:rsidR="00FC24A8" w:rsidRPr="00FC24A8">
        <w:rPr>
          <w:rFonts w:ascii="Arial" w:hAnsi="Arial" w:cs="Arial"/>
          <w:sz w:val="14"/>
          <w:szCs w:val="14"/>
        </w:rPr>
        <w:t xml:space="preserve"> </w:t>
      </w:r>
      <w:r w:rsidR="00FC24A8">
        <w:rPr>
          <w:rFonts w:ascii="Arial" w:hAnsi="Arial" w:cs="Arial"/>
          <w:sz w:val="14"/>
          <w:szCs w:val="14"/>
        </w:rPr>
        <w:t>fellow of The Indian Society for Technical Education.</w:t>
      </w:r>
      <w:r w:rsidRPr="002B3F1D">
        <w:rPr>
          <w:rFonts w:ascii="Arial" w:hAnsi="Arial" w:cs="Arial"/>
          <w:sz w:val="14"/>
          <w:szCs w:val="14"/>
        </w:rPr>
        <w:t xml:space="preserve"> </w:t>
      </w:r>
      <w:r w:rsidR="00FC24A8">
        <w:rPr>
          <w:rFonts w:ascii="Arial" w:hAnsi="Arial" w:cs="Arial"/>
          <w:sz w:val="14"/>
          <w:szCs w:val="14"/>
        </w:rPr>
        <w:t>He has submitted his Ph. D. thesis to the K L Deemed to be University</w:t>
      </w:r>
      <w:r w:rsidR="00D86927">
        <w:rPr>
          <w:rFonts w:ascii="Arial" w:hAnsi="Arial" w:cs="Arial"/>
          <w:sz w:val="14"/>
          <w:szCs w:val="14"/>
        </w:rPr>
        <w:t xml:space="preserve"> and done his </w:t>
      </w:r>
      <w:r w:rsidR="009F648B">
        <w:rPr>
          <w:rFonts w:ascii="Arial" w:hAnsi="Arial" w:cs="Arial"/>
          <w:sz w:val="14"/>
          <w:szCs w:val="14"/>
        </w:rPr>
        <w:t>post-graduation</w:t>
      </w:r>
      <w:r w:rsidR="00D86927">
        <w:rPr>
          <w:rFonts w:ascii="Arial" w:hAnsi="Arial" w:cs="Arial"/>
          <w:sz w:val="14"/>
          <w:szCs w:val="14"/>
        </w:rPr>
        <w:t xml:space="preserve"> from Jawaharlal Nehru Technological University, Hyderabad, India. During his Ph.D., he</w:t>
      </w:r>
      <w:r w:rsidR="00FC24A8">
        <w:rPr>
          <w:rFonts w:ascii="Arial" w:hAnsi="Arial" w:cs="Arial"/>
          <w:sz w:val="14"/>
          <w:szCs w:val="14"/>
        </w:rPr>
        <w:t xml:space="preserve"> had published </w:t>
      </w:r>
      <w:r w:rsidR="00D86927">
        <w:rPr>
          <w:rFonts w:ascii="Arial" w:hAnsi="Arial" w:cs="Arial"/>
          <w:sz w:val="14"/>
          <w:szCs w:val="14"/>
        </w:rPr>
        <w:t>18</w:t>
      </w:r>
      <w:r w:rsidR="00FC24A8">
        <w:rPr>
          <w:rFonts w:ascii="Arial" w:hAnsi="Arial" w:cs="Arial"/>
          <w:sz w:val="14"/>
          <w:szCs w:val="14"/>
        </w:rPr>
        <w:t xml:space="preserve"> research papers</w:t>
      </w:r>
      <w:r w:rsidR="00D86927">
        <w:rPr>
          <w:rFonts w:ascii="Arial" w:hAnsi="Arial" w:cs="Arial"/>
          <w:sz w:val="14"/>
          <w:szCs w:val="14"/>
        </w:rPr>
        <w:t xml:space="preserve"> and</w:t>
      </w:r>
      <w:r w:rsidR="00FC24A8">
        <w:rPr>
          <w:rFonts w:ascii="Arial" w:hAnsi="Arial" w:cs="Arial"/>
          <w:sz w:val="14"/>
          <w:szCs w:val="14"/>
        </w:rPr>
        <w:t xml:space="preserve"> </w:t>
      </w:r>
      <w:r w:rsidR="00D86927">
        <w:rPr>
          <w:rFonts w:ascii="Arial" w:hAnsi="Arial" w:cs="Arial"/>
          <w:sz w:val="14"/>
          <w:szCs w:val="14"/>
        </w:rPr>
        <w:t>one</w:t>
      </w:r>
      <w:r w:rsidR="00306F03">
        <w:rPr>
          <w:rFonts w:ascii="Arial" w:hAnsi="Arial" w:cs="Arial"/>
          <w:sz w:val="14"/>
          <w:szCs w:val="14"/>
        </w:rPr>
        <w:t xml:space="preserve"> Patent. He presented his research in </w:t>
      </w:r>
      <w:r w:rsidR="00D86927">
        <w:rPr>
          <w:rFonts w:ascii="Arial" w:hAnsi="Arial" w:cs="Arial"/>
          <w:sz w:val="14"/>
          <w:szCs w:val="14"/>
        </w:rPr>
        <w:t>six</w:t>
      </w:r>
      <w:r w:rsidR="00306F03">
        <w:rPr>
          <w:rFonts w:ascii="Arial" w:hAnsi="Arial" w:cs="Arial"/>
          <w:sz w:val="14"/>
          <w:szCs w:val="14"/>
        </w:rPr>
        <w:t xml:space="preserve"> </w:t>
      </w:r>
      <w:r w:rsidR="009F648B">
        <w:rPr>
          <w:rFonts w:ascii="Arial" w:hAnsi="Arial" w:cs="Arial"/>
          <w:sz w:val="14"/>
          <w:szCs w:val="14"/>
        </w:rPr>
        <w:t>international</w:t>
      </w:r>
      <w:r w:rsidR="00306F03">
        <w:rPr>
          <w:rFonts w:ascii="Arial" w:hAnsi="Arial" w:cs="Arial"/>
          <w:sz w:val="14"/>
          <w:szCs w:val="14"/>
        </w:rPr>
        <w:t xml:space="preserve"> conferences.</w:t>
      </w:r>
      <w:r w:rsidR="00D86927">
        <w:rPr>
          <w:rFonts w:ascii="Arial" w:hAnsi="Arial" w:cs="Arial"/>
          <w:sz w:val="14"/>
          <w:szCs w:val="14"/>
        </w:rPr>
        <w:t xml:space="preserve"> H</w:t>
      </w:r>
      <w:r w:rsidR="009F648B">
        <w:rPr>
          <w:rFonts w:ascii="Arial" w:hAnsi="Arial" w:cs="Arial"/>
          <w:sz w:val="14"/>
          <w:szCs w:val="14"/>
        </w:rPr>
        <w:t>is</w:t>
      </w:r>
      <w:r w:rsidR="00D86927">
        <w:rPr>
          <w:rFonts w:ascii="Arial" w:hAnsi="Arial" w:cs="Arial"/>
          <w:sz w:val="14"/>
          <w:szCs w:val="14"/>
        </w:rPr>
        <w:t xml:space="preserve"> research interests include structural behavior of concrete elements, </w:t>
      </w:r>
      <w:proofErr w:type="gramStart"/>
      <w:r w:rsidR="00D86927">
        <w:rPr>
          <w:rFonts w:ascii="Arial" w:hAnsi="Arial" w:cs="Arial"/>
          <w:sz w:val="14"/>
          <w:szCs w:val="14"/>
        </w:rPr>
        <w:t>design</w:t>
      </w:r>
      <w:proofErr w:type="gramEnd"/>
      <w:r w:rsidR="00D86927">
        <w:rPr>
          <w:rFonts w:ascii="Arial" w:hAnsi="Arial" w:cs="Arial"/>
          <w:sz w:val="14"/>
          <w:szCs w:val="14"/>
        </w:rPr>
        <w:t xml:space="preserve"> and optimization of sustainable variants in concrete. He has been awarded the “Young Researcher </w:t>
      </w:r>
      <w:r w:rsidR="009F648B">
        <w:rPr>
          <w:rFonts w:ascii="Arial" w:hAnsi="Arial" w:cs="Arial"/>
          <w:sz w:val="14"/>
          <w:szCs w:val="14"/>
        </w:rPr>
        <w:t>Award</w:t>
      </w:r>
      <w:r w:rsidR="00D86927">
        <w:rPr>
          <w:rFonts w:ascii="Arial" w:hAnsi="Arial" w:cs="Arial"/>
          <w:sz w:val="14"/>
          <w:szCs w:val="14"/>
        </w:rPr>
        <w:t>”</w:t>
      </w:r>
      <w:r w:rsidR="009F648B">
        <w:rPr>
          <w:rFonts w:ascii="Arial" w:hAnsi="Arial" w:cs="Arial"/>
          <w:sz w:val="14"/>
          <w:szCs w:val="14"/>
        </w:rPr>
        <w:t xml:space="preserve"> by Green </w:t>
      </w:r>
      <w:proofErr w:type="spellStart"/>
      <w:r w:rsidR="009F648B">
        <w:rPr>
          <w:rFonts w:ascii="Arial" w:hAnsi="Arial" w:cs="Arial"/>
          <w:sz w:val="14"/>
          <w:szCs w:val="14"/>
        </w:rPr>
        <w:t>Thinkerz</w:t>
      </w:r>
      <w:proofErr w:type="spellEnd"/>
      <w:r w:rsidR="009F648B">
        <w:rPr>
          <w:rFonts w:ascii="Arial" w:hAnsi="Arial" w:cs="Arial"/>
          <w:sz w:val="14"/>
          <w:szCs w:val="14"/>
        </w:rPr>
        <w:t xml:space="preserve"> Society, India in 2021. </w:t>
      </w:r>
    </w:p>
    <w:p w14:paraId="5B205DC6" w14:textId="77777777" w:rsidR="006D661B" w:rsidRDefault="006D661B" w:rsidP="006D661B">
      <w:pPr>
        <w:spacing w:line="360" w:lineRule="auto"/>
        <w:jc w:val="both"/>
        <w:rPr>
          <w:bCs/>
        </w:rPr>
      </w:pPr>
    </w:p>
    <w:p w14:paraId="6304A05A" w14:textId="77777777" w:rsidR="006D661B" w:rsidRPr="0099373E" w:rsidRDefault="006D661B" w:rsidP="00942A9C">
      <w:pPr>
        <w:spacing w:line="360" w:lineRule="auto"/>
        <w:jc w:val="both"/>
        <w:rPr>
          <w:bCs/>
        </w:rPr>
      </w:pPr>
    </w:p>
    <w:p w14:paraId="39FA112A" w14:textId="77777777" w:rsidR="00942A9C" w:rsidRPr="00942A9C" w:rsidRDefault="00942A9C" w:rsidP="00942A9C"/>
    <w:sectPr w:rsidR="00942A9C" w:rsidRPr="00942A9C" w:rsidSect="004C243A">
      <w:type w:val="continuous"/>
      <w:pgSz w:w="12240" w:h="15840"/>
      <w:pgMar w:top="1728"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BA7"/>
    <w:rsid w:val="00163988"/>
    <w:rsid w:val="002B00E6"/>
    <w:rsid w:val="002B3F1D"/>
    <w:rsid w:val="00306F03"/>
    <w:rsid w:val="004C243A"/>
    <w:rsid w:val="0051243B"/>
    <w:rsid w:val="006D661B"/>
    <w:rsid w:val="00820C6A"/>
    <w:rsid w:val="00942A9C"/>
    <w:rsid w:val="00956BA7"/>
    <w:rsid w:val="009F648B"/>
    <w:rsid w:val="00A900D7"/>
    <w:rsid w:val="00B449B2"/>
    <w:rsid w:val="00BE0E18"/>
    <w:rsid w:val="00C528B8"/>
    <w:rsid w:val="00D86927"/>
    <w:rsid w:val="00F40FFA"/>
    <w:rsid w:val="00FC24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EDE3A"/>
  <w15:chartTrackingRefBased/>
  <w15:docId w15:val="{4886BC80-80E2-4FE4-A122-52A817ECD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49B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42A9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49B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42A9C"/>
    <w:rPr>
      <w:rFonts w:asciiTheme="majorHAnsi" w:eastAsiaTheme="majorEastAsia" w:hAnsiTheme="majorHAnsi" w:cstheme="majorBidi"/>
      <w:color w:val="2F5496" w:themeColor="accent1" w:themeShade="BF"/>
      <w:sz w:val="26"/>
      <w:szCs w:val="26"/>
    </w:rPr>
  </w:style>
  <w:style w:type="character" w:customStyle="1" w:styleId="title-text">
    <w:name w:val="title-text"/>
    <w:basedOn w:val="DefaultParagraphFont"/>
    <w:rsid w:val="00F40FFA"/>
  </w:style>
  <w:style w:type="character" w:styleId="Hyperlink">
    <w:name w:val="Hyperlink"/>
    <w:basedOn w:val="DefaultParagraphFont"/>
    <w:uiPriority w:val="99"/>
    <w:unhideWhenUsed/>
    <w:rsid w:val="00F40FFA"/>
    <w:rPr>
      <w:color w:val="0000FF"/>
      <w:u w:val="single"/>
    </w:rPr>
  </w:style>
  <w:style w:type="character" w:styleId="UnresolvedMention">
    <w:name w:val="Unresolved Mention"/>
    <w:basedOn w:val="DefaultParagraphFont"/>
    <w:uiPriority w:val="99"/>
    <w:semiHidden/>
    <w:unhideWhenUsed/>
    <w:rsid w:val="00F40F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7949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researchgate.net/publication/353681931_Performance_of_Concrete_at_Elevated_Temperatures?_sg=1vqZ2nUE9xnVcSI_291CuTZbR41GTkPT6EW_VkbWA5KNM5y-aWY3pOcPdJr2It1_p9IAikLevfEtJNSEBX-HxQSJP5-pjSbW8hFIEUTy.dV3lRM_9RcmMumtCzE4_JpNKFRvO9sCpVoDo5Eu4_WThHNEZFUSvsoQV3CuZNtHdzAl9wPwbeNqcz-btA2brXw" TargetMode="External"/><Relationship Id="rId4" Type="http://schemas.openxmlformats.org/officeDocument/2006/relationships/hyperlink" Target="https://doi.org/10.1016/j.matpr.2021.11.4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620</Words>
  <Characters>3535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Achyutha Kumar Reddy</dc:creator>
  <cp:keywords/>
  <dc:description/>
  <cp:lastModifiedBy>M Achyutha Kumar Reddy</cp:lastModifiedBy>
  <cp:revision>3</cp:revision>
  <cp:lastPrinted>2021-12-15T12:51:00Z</cp:lastPrinted>
  <dcterms:created xsi:type="dcterms:W3CDTF">2021-12-15T11:46:00Z</dcterms:created>
  <dcterms:modified xsi:type="dcterms:W3CDTF">2021-12-16T05:09:00Z</dcterms:modified>
</cp:coreProperties>
</file>