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CD1709" w:rsidP="00AF61EB">
      <w:pPr>
        <w:keepNext/>
      </w:pPr>
      <w:r>
        <w:rPr>
          <w:noProof/>
          <w:lang w:val="pl-PL" w:eastAsia="pl-PL"/>
        </w:rPr>
        <w:drawing>
          <wp:anchor distT="0" distB="0" distL="114300" distR="114300" simplePos="0" relativeHeight="251659776" behindDoc="0" locked="0" layoutInCell="1" allowOverlap="1" wp14:anchorId="108BC999" wp14:editId="5DC1A502">
            <wp:simplePos x="0" y="0"/>
            <wp:positionH relativeFrom="column">
              <wp:posOffset>17145</wp:posOffset>
            </wp:positionH>
            <wp:positionV relativeFrom="paragraph">
              <wp:posOffset>0</wp:posOffset>
            </wp:positionV>
            <wp:extent cx="1201420" cy="1344930"/>
            <wp:effectExtent l="0" t="0" r="0" b="7620"/>
            <wp:wrapTopAndBottom/>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201420" cy="1344930"/>
                    </a:xfrm>
                    <a:prstGeom prst="rect">
                      <a:avLst/>
                    </a:prstGeom>
                  </pic:spPr>
                </pic:pic>
              </a:graphicData>
            </a:graphic>
            <wp14:sizeRelH relativeFrom="margin">
              <wp14:pctWidth>0</wp14:pctWidth>
            </wp14:sizeRelH>
            <wp14:sizeRelV relativeFrom="margin">
              <wp14:pctHeight>0</wp14:pctHeight>
            </wp14:sizeRelV>
          </wp:anchor>
        </w:drawing>
      </w:r>
      <w:r w:rsidR="000776E2">
        <w:rPr>
          <w:rFonts w:eastAsia="MS PGothic"/>
          <w:b/>
          <w:noProof/>
          <w:color w:val="000000"/>
          <w:sz w:val="28"/>
          <w:szCs w:val="28"/>
          <w:lang w:val="pl-PL" w:eastAsia="pl-PL"/>
        </w:rPr>
        <mc:AlternateContent>
          <mc:Choice Requires="wps">
            <w:drawing>
              <wp:anchor distT="0" distB="0" distL="114300" distR="114300" simplePos="0" relativeHeight="251657728" behindDoc="0" locked="0" layoutInCell="1" allowOverlap="1" wp14:anchorId="377654DC" wp14:editId="51A23CE2">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CD1709" w:rsidP="00CD1709">
                            <w:pPr>
                              <w:rPr>
                                <w:b/>
                                <w:color w:val="0000FF"/>
                                <w:lang w:val="en-IN"/>
                              </w:rPr>
                            </w:pPr>
                            <w:r>
                              <w:rPr>
                                <w:noProof/>
                                <w:lang w:val="pl-PL" w:eastAsia="pl-PL"/>
                              </w:rPr>
                              <w:drawing>
                                <wp:inline distT="0" distB="0" distL="0" distR="0" wp14:anchorId="2AAF4281" wp14:editId="2097075D">
                                  <wp:extent cx="1439545" cy="497205"/>
                                  <wp:effectExtent l="0" t="0" r="825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39545" cy="49720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7654DC"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Pr="00B03DB8" w:rsidRDefault="00CD1709" w:rsidP="00CD1709">
                      <w:pPr>
                        <w:rPr>
                          <w:b/>
                          <w:color w:val="0000FF"/>
                          <w:lang w:val="en-IN"/>
                        </w:rPr>
                      </w:pPr>
                      <w:r>
                        <w:rPr>
                          <w:noProof/>
                          <w:lang w:val="pl-PL" w:eastAsia="pl-PL"/>
                        </w:rPr>
                        <w:drawing>
                          <wp:inline distT="0" distB="0" distL="0" distR="0" wp14:anchorId="2AAF4281" wp14:editId="2097075D">
                            <wp:extent cx="1439545" cy="497205"/>
                            <wp:effectExtent l="0" t="0" r="825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39545" cy="497205"/>
                                    </a:xfrm>
                                    <a:prstGeom prst="rect">
                                      <a:avLst/>
                                    </a:prstGeom>
                                  </pic:spPr>
                                </pic:pic>
                              </a:graphicData>
                            </a:graphic>
                          </wp:inline>
                        </w:drawing>
                      </w:r>
                    </w:p>
                  </w:txbxContent>
                </v:textbox>
              </v:roundrect>
            </w:pict>
          </mc:Fallback>
        </mc:AlternateContent>
      </w:r>
      <w:r w:rsidRPr="00CD1709">
        <w:rPr>
          <w:noProof/>
          <w:lang w:val="pl-PL" w:eastAsia="pl-PL"/>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76E2">
      <w:pPr>
        <w:rPr>
          <w:rFonts w:eastAsia="MS PGothic"/>
          <w:b/>
          <w:color w:val="000000"/>
          <w:sz w:val="28"/>
          <w:szCs w:val="28"/>
        </w:rPr>
      </w:pPr>
      <w:r w:rsidRPr="00327F9B">
        <w:rPr>
          <w:rFonts w:eastAsia="MS PGothic"/>
          <w:b/>
          <w:color w:val="000000"/>
          <w:sz w:val="28"/>
          <w:szCs w:val="28"/>
        </w:rPr>
        <w:t xml:space="preserve">Title: </w:t>
      </w:r>
      <w:r w:rsidR="000776E2" w:rsidRPr="000776E2">
        <w:rPr>
          <w:rFonts w:eastAsia="MS PGothic"/>
          <w:bCs/>
          <w:color w:val="000000"/>
          <w:sz w:val="28"/>
          <w:szCs w:val="28"/>
        </w:rPr>
        <w:t xml:space="preserve">Luminescence Thermometry – Towards High Accuracy </w:t>
      </w:r>
      <w:r w:rsidR="000776E2">
        <w:rPr>
          <w:rFonts w:eastAsia="MS PGothic"/>
          <w:bCs/>
          <w:color w:val="000000"/>
          <w:sz w:val="28"/>
          <w:szCs w:val="28"/>
        </w:rPr>
        <w:t>and</w:t>
      </w:r>
      <w:r w:rsidR="000776E2" w:rsidRPr="000776E2">
        <w:rPr>
          <w:rFonts w:eastAsia="MS PGothic"/>
          <w:bCs/>
          <w:color w:val="000000"/>
          <w:sz w:val="28"/>
          <w:szCs w:val="28"/>
        </w:rPr>
        <w:t xml:space="preserve"> a Wide Range </w:t>
      </w:r>
      <w:r w:rsidR="000776E2">
        <w:rPr>
          <w:rFonts w:eastAsia="MS PGothic"/>
          <w:bCs/>
          <w:color w:val="000000"/>
          <w:sz w:val="28"/>
          <w:szCs w:val="28"/>
        </w:rPr>
        <w:t xml:space="preserve">Reading </w:t>
      </w:r>
    </w:p>
    <w:p w:rsidR="00CD1709" w:rsidRPr="004D1951" w:rsidRDefault="00074C9C" w:rsidP="004D1951">
      <w:pPr>
        <w:jc w:val="center"/>
      </w:pPr>
      <w:r>
        <w:rPr>
          <w:rFonts w:eastAsia="MS PGothic" w:hAnsi="Arial"/>
          <w:color w:val="000000"/>
        </w:rPr>
        <w:br/>
      </w:r>
      <w:r w:rsidR="00CD1709" w:rsidRPr="004D1951">
        <w:t xml:space="preserve">Carlos D. S. </w:t>
      </w:r>
      <w:proofErr w:type="spellStart"/>
      <w:r w:rsidR="00CD1709" w:rsidRPr="004D1951">
        <w:t>Brites</w:t>
      </w:r>
      <w:r w:rsidR="00CD1709" w:rsidRPr="004D1951">
        <w:rPr>
          <w:vertAlign w:val="superscript"/>
        </w:rPr>
        <w:t>a</w:t>
      </w:r>
      <w:proofErr w:type="spellEnd"/>
      <w:r w:rsidR="00CD1709" w:rsidRPr="004D1951">
        <w:t xml:space="preserve">, Małgorzata </w:t>
      </w:r>
      <w:proofErr w:type="spellStart"/>
      <w:r w:rsidR="00CD1709" w:rsidRPr="004D1951">
        <w:t>Sójka</w:t>
      </w:r>
      <w:r w:rsidR="00CD1709" w:rsidRPr="004D1951">
        <w:rPr>
          <w:vertAlign w:val="superscript"/>
        </w:rPr>
        <w:t>b</w:t>
      </w:r>
      <w:proofErr w:type="spellEnd"/>
      <w:r w:rsidR="00CD1709" w:rsidRPr="004D1951">
        <w:t xml:space="preserve">, Karolina </w:t>
      </w:r>
      <w:proofErr w:type="spellStart"/>
      <w:r w:rsidR="00CD1709" w:rsidRPr="004D1951">
        <w:t>Fiaczyk</w:t>
      </w:r>
      <w:r w:rsidR="00CD1709" w:rsidRPr="004D1951">
        <w:rPr>
          <w:vertAlign w:val="superscript"/>
        </w:rPr>
        <w:t>b</w:t>
      </w:r>
      <w:proofErr w:type="spellEnd"/>
      <w:r w:rsidR="00CD1709" w:rsidRPr="004D1951">
        <w:t xml:space="preserve">, João F. C. B. </w:t>
      </w:r>
      <w:proofErr w:type="spellStart"/>
      <w:r w:rsidR="00CD1709" w:rsidRPr="004D1951">
        <w:t>Ramalho</w:t>
      </w:r>
      <w:r w:rsidR="00CD1709" w:rsidRPr="004D1951">
        <w:rPr>
          <w:vertAlign w:val="superscript"/>
        </w:rPr>
        <w:t>a</w:t>
      </w:r>
      <w:proofErr w:type="spellEnd"/>
      <w:r w:rsidR="00CD1709" w:rsidRPr="004D1951">
        <w:t xml:space="preserve">, </w:t>
      </w:r>
      <w:r w:rsidR="004D1951">
        <w:br/>
      </w:r>
      <w:r w:rsidR="00CD1709" w:rsidRPr="004D1951">
        <w:t xml:space="preserve">Luís D. </w:t>
      </w:r>
      <w:proofErr w:type="spellStart"/>
      <w:r w:rsidR="00CD1709" w:rsidRPr="004D1951">
        <w:t>Carlos</w:t>
      </w:r>
      <w:r w:rsidR="00CD1709" w:rsidRPr="004D1951">
        <w:rPr>
          <w:vertAlign w:val="superscript"/>
        </w:rPr>
        <w:t>a</w:t>
      </w:r>
      <w:proofErr w:type="spellEnd"/>
      <w:r w:rsidR="00CD1709" w:rsidRPr="004D1951">
        <w:t xml:space="preserve">, </w:t>
      </w:r>
      <w:r w:rsidR="00CD1709" w:rsidRPr="004D1951">
        <w:rPr>
          <w:u w:val="single"/>
        </w:rPr>
        <w:t xml:space="preserve">Eugeniusz </w:t>
      </w:r>
      <w:proofErr w:type="spellStart"/>
      <w:r w:rsidR="00CD1709" w:rsidRPr="004D1951">
        <w:rPr>
          <w:u w:val="single"/>
        </w:rPr>
        <w:t>Zych</w:t>
      </w:r>
      <w:r w:rsidR="00CD1709" w:rsidRPr="004D1951">
        <w:rPr>
          <w:vertAlign w:val="superscript"/>
        </w:rPr>
        <w:t>b</w:t>
      </w:r>
      <w:proofErr w:type="spellEnd"/>
    </w:p>
    <w:p w:rsidR="005B4B32" w:rsidRDefault="005B4B32" w:rsidP="00CD1709">
      <w:pPr>
        <w:jc w:val="center"/>
        <w:rPr>
          <w:rFonts w:eastAsia="MS PGothic" w:hAnsi="Arial"/>
          <w:color w:val="000000"/>
        </w:rPr>
      </w:pPr>
    </w:p>
    <w:p w:rsidR="00CD1709" w:rsidRDefault="00CD1709" w:rsidP="00CD1709">
      <w:pPr>
        <w:pStyle w:val="Authors"/>
      </w:pPr>
      <w:proofErr w:type="spellStart"/>
      <w:r>
        <w:rPr>
          <w:i w:val="0"/>
          <w:vertAlign w:val="superscript"/>
        </w:rPr>
        <w:t>a</w:t>
      </w:r>
      <w:r>
        <w:t>Physics</w:t>
      </w:r>
      <w:proofErr w:type="spellEnd"/>
      <w:r>
        <w:t xml:space="preserve"> Department, CICECO-</w:t>
      </w:r>
      <w:proofErr w:type="spellStart"/>
      <w:r>
        <w:t>Aveiro</w:t>
      </w:r>
      <w:proofErr w:type="spellEnd"/>
      <w:r>
        <w:t xml:space="preserve"> Institute of Materials, University of </w:t>
      </w:r>
      <w:proofErr w:type="spellStart"/>
      <w:r>
        <w:t>Aveiro</w:t>
      </w:r>
      <w:proofErr w:type="spellEnd"/>
    </w:p>
    <w:p w:rsidR="008E2F78" w:rsidRDefault="00CD1709" w:rsidP="00CD1709">
      <w:pPr>
        <w:jc w:val="center"/>
        <w:rPr>
          <w:rFonts w:eastAsia="MS PGothic" w:hAnsi="Arial"/>
          <w:color w:val="000000"/>
        </w:rPr>
      </w:pPr>
      <w:r>
        <w:t xml:space="preserve">3810-193 </w:t>
      </w:r>
      <w:proofErr w:type="spellStart"/>
      <w:r>
        <w:t>Aveiro</w:t>
      </w:r>
      <w:proofErr w:type="spellEnd"/>
      <w:r>
        <w:t xml:space="preserve">, Portugal </w:t>
      </w:r>
    </w:p>
    <w:p w:rsidR="00DC433A" w:rsidRPr="00327F9B" w:rsidRDefault="000776E2" w:rsidP="00CD1709">
      <w:pPr>
        <w:jc w:val="center"/>
        <w:rPr>
          <w:rFonts w:eastAsia="MS PGothic" w:hAnsi="Arial"/>
          <w:color w:val="000000"/>
        </w:rPr>
      </w:pPr>
      <w:proofErr w:type="spellStart"/>
      <w:r>
        <w:rPr>
          <w:i/>
          <w:vertAlign w:val="superscript"/>
        </w:rPr>
        <w:t>b</w:t>
      </w:r>
      <w:r>
        <w:t>Faculty</w:t>
      </w:r>
      <w:proofErr w:type="spellEnd"/>
      <w:r>
        <w:t xml:space="preserve"> of Chemistry, University of Wroclaw, </w:t>
      </w:r>
      <w:r w:rsidR="004D1951">
        <w:br/>
      </w:r>
      <w:r>
        <w:t>14. F. Joliot-Curie Street, 50-383 Wroclaw, Poland</w:t>
      </w:r>
      <w:r w:rsidR="00CD1709">
        <w:t xml:space="preserve"> </w:t>
      </w:r>
    </w:p>
    <w:p w:rsidR="00DC433A" w:rsidRPr="00D81022" w:rsidRDefault="00DC433A" w:rsidP="00DC433A">
      <w:pPr>
        <w:jc w:val="center"/>
        <w:rPr>
          <w:color w:val="0000FF"/>
          <w:sz w:val="36"/>
          <w:szCs w:val="36"/>
        </w:rPr>
      </w:pPr>
    </w:p>
    <w:p w:rsidR="00CD1709" w:rsidRDefault="00CD1709" w:rsidP="004428CE">
      <w:pPr>
        <w:ind w:firstLine="720"/>
        <w:jc w:val="both"/>
      </w:pPr>
      <w:r>
        <w:rPr>
          <w:rFonts w:eastAsia="MS PGothic"/>
          <w:color w:val="000000"/>
          <w:szCs w:val="32"/>
        </w:rPr>
        <w:t>Temperature is one of the most frequently measured physical variable</w:t>
      </w:r>
      <w:r w:rsidR="003C5E0E">
        <w:rPr>
          <w:rFonts w:eastAsia="MS PGothic"/>
          <w:color w:val="000000"/>
          <w:szCs w:val="32"/>
        </w:rPr>
        <w:t xml:space="preserve"> and the global market of sensors is a market of temperature sensors – they account for ~80% of total sales of measurement devices</w:t>
      </w:r>
      <w:r>
        <w:rPr>
          <w:rFonts w:eastAsia="MS PGothic"/>
          <w:color w:val="000000"/>
          <w:szCs w:val="32"/>
        </w:rPr>
        <w:t xml:space="preserve">. </w:t>
      </w:r>
      <w:r w:rsidR="003C5E0E">
        <w:rPr>
          <w:rFonts w:eastAsia="MS PGothic"/>
          <w:color w:val="000000"/>
          <w:szCs w:val="32"/>
        </w:rPr>
        <w:t xml:space="preserve">A rising need is to measure temperature by means of non-contact techniques. Among them, nowadays, </w:t>
      </w:r>
      <w:proofErr w:type="spellStart"/>
      <w:r w:rsidR="003C5E0E">
        <w:rPr>
          <w:rFonts w:eastAsia="MS PGothic"/>
          <w:color w:val="000000"/>
          <w:szCs w:val="32"/>
        </w:rPr>
        <w:t>pyrometry</w:t>
      </w:r>
      <w:proofErr w:type="spellEnd"/>
      <w:r w:rsidR="003C5E0E">
        <w:rPr>
          <w:rFonts w:eastAsia="MS PGothic"/>
          <w:color w:val="000000"/>
          <w:szCs w:val="32"/>
        </w:rPr>
        <w:t xml:space="preserve"> is a method of choice</w:t>
      </w:r>
      <w:r w:rsidR="004428CE">
        <w:rPr>
          <w:rFonts w:eastAsia="MS PGothic"/>
          <w:color w:val="000000"/>
          <w:szCs w:val="32"/>
        </w:rPr>
        <w:t xml:space="preserve"> for such purposes. Yet, it has limitations like </w:t>
      </w:r>
      <w:r w:rsidR="004428CE">
        <w:t>sensitivity to stray light or reflected radiation as well as sensitivity to flame interferences.</w:t>
      </w:r>
      <w:r w:rsidR="004428CE">
        <w:t xml:space="preserve"> Also its accuracy is limited to ~2 K, which is not always satisfactory. In </w:t>
      </w:r>
      <w:r w:rsidR="004428CE">
        <w:t xml:space="preserve">microelectronics, </w:t>
      </w:r>
      <w:proofErr w:type="spellStart"/>
      <w:r w:rsidR="004428CE">
        <w:t>microoptics</w:t>
      </w:r>
      <w:proofErr w:type="spellEnd"/>
      <w:r w:rsidR="004428CE">
        <w:t xml:space="preserve">, photonics, microfluidics, </w:t>
      </w:r>
      <w:proofErr w:type="spellStart"/>
      <w:r w:rsidR="004428CE">
        <w:t>nanomedicine</w:t>
      </w:r>
      <w:proofErr w:type="spellEnd"/>
      <w:r w:rsidR="004428CE">
        <w:t xml:space="preserve"> the requirements are not satisfied by the today methodology and </w:t>
      </w:r>
      <w:r w:rsidR="004428CE">
        <w:t>alternative solutions</w:t>
      </w:r>
      <w:r w:rsidR="004428CE">
        <w:t xml:space="preserve"> are required</w:t>
      </w:r>
      <w:r w:rsidR="004428CE">
        <w:t>.</w:t>
      </w:r>
      <w:r w:rsidR="004428CE">
        <w:t xml:space="preserve"> </w:t>
      </w:r>
    </w:p>
    <w:p w:rsidR="004428CE" w:rsidRDefault="004428CE" w:rsidP="004428CE">
      <w:pPr>
        <w:ind w:firstLine="720"/>
        <w:jc w:val="both"/>
      </w:pPr>
      <w:r>
        <w:t xml:space="preserve">Among promising approaches, overcoming the limitations of other techniques, luminescent </w:t>
      </w:r>
      <w:r w:rsidRPr="00724024">
        <w:t>methods</w:t>
      </w:r>
      <w:r>
        <w:t xml:space="preserve"> are of </w:t>
      </w:r>
      <w:r>
        <w:t>increasing</w:t>
      </w:r>
      <w:r>
        <w:t xml:space="preserve"> interest. While the idea is not new, a real breakthrough using this technique was not yet achieved. Combining a high sensitivity and accuracy as well as</w:t>
      </w:r>
      <w:r>
        <w:t xml:space="preserve"> a</w:t>
      </w:r>
      <w:r>
        <w:t xml:space="preserve"> broad range of temperature usability within one temperature sensor appeared </w:t>
      </w:r>
      <w:r>
        <w:t>challenging</w:t>
      </w:r>
      <w:r>
        <w:t xml:space="preserve">. </w:t>
      </w:r>
    </w:p>
    <w:p w:rsidR="00363668" w:rsidRDefault="004428CE" w:rsidP="00C95E8B">
      <w:pPr>
        <w:jc w:val="both"/>
        <w:rPr>
          <w:color w:val="000000"/>
        </w:rPr>
      </w:pPr>
      <w:r>
        <w:tab/>
      </w:r>
      <w:r>
        <w:t>In this presentation we shall prove that Pr</w:t>
      </w:r>
      <w:r w:rsidRPr="00F368D2">
        <w:rPr>
          <w:vertAlign w:val="superscript"/>
        </w:rPr>
        <w:t>3+</w:t>
      </w:r>
      <w:r>
        <w:t xml:space="preserve"> luminescence characteristics may offer a</w:t>
      </w:r>
      <w:r>
        <w:t xml:space="preserve"> breakthrough </w:t>
      </w:r>
      <w:r>
        <w:t>in this field.</w:t>
      </w:r>
      <w:r>
        <w:t xml:space="preserve"> The main argument is that this ion may offer as many as three well-separated emission bands, each with a different temperature dependence. </w:t>
      </w:r>
      <w:r>
        <w:t>Our presentation will show first results of the approach presented above using data for Sr</w:t>
      </w:r>
      <w:r w:rsidRPr="00FF4772">
        <w:rPr>
          <w:vertAlign w:val="subscript"/>
        </w:rPr>
        <w:t>2</w:t>
      </w:r>
      <w:r>
        <w:t>GeO</w:t>
      </w:r>
      <w:r w:rsidRPr="00FF4772">
        <w:rPr>
          <w:vertAlign w:val="subscript"/>
        </w:rPr>
        <w:t>4</w:t>
      </w:r>
      <w:r>
        <w:t>:Pr and will prove a validity and</w:t>
      </w:r>
      <w:r w:rsidRPr="00C527E6">
        <w:t xml:space="preserve"> </w:t>
      </w:r>
      <w:r>
        <w:t xml:space="preserve">high </w:t>
      </w:r>
      <w:r>
        <w:t>potential of this</w:t>
      </w:r>
      <w:r w:rsidRPr="004428CE">
        <w:t xml:space="preserve"> </w:t>
      </w:r>
      <w:r>
        <w:t>approach</w:t>
      </w:r>
      <w:r>
        <w:t>.</w:t>
      </w:r>
      <w:r>
        <w:t xml:space="preserve"> Most of all reading temperature with good accuracy in the range of 17-600 K will be </w:t>
      </w:r>
      <w:r w:rsidR="00C95E8B">
        <w:t>proved</w:t>
      </w:r>
      <w:r w:rsidR="008E737B" w:rsidRPr="00FE59A3">
        <w:rPr>
          <w:color w:val="000000"/>
        </w:rPr>
        <w:t>.</w:t>
      </w:r>
      <w:r w:rsidR="00AF61EB">
        <w:rPr>
          <w:color w:val="000000"/>
        </w:rPr>
        <w:t xml:space="preserve">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4D1951" w:rsidRDefault="00C95E8B" w:rsidP="004D1951">
      <w:pPr>
        <w:jc w:val="both"/>
      </w:pPr>
      <w:r>
        <w:t>P</w:t>
      </w:r>
      <w:r w:rsidRPr="00C95E8B">
        <w:t>rof. Eugeniusz Zych</w:t>
      </w:r>
      <w:r>
        <w:t xml:space="preserve"> completed his PhD in 1994 from University of Wroclaw and postdoctoral studies from Boston University. He served as Deputy Dean and is a head of a Luminescent materials research group. </w:t>
      </w:r>
      <w:r>
        <w:t>Prof. Zych</w:t>
      </w:r>
      <w:r>
        <w:t xml:space="preserve"> conducted many grants and projects for industrial partners </w:t>
      </w:r>
      <w:r>
        <w:lastRenderedPageBreak/>
        <w:t xml:space="preserve">and for his </w:t>
      </w:r>
      <w:r w:rsidR="004D1951">
        <w:t>achievements he</w:t>
      </w:r>
      <w:r>
        <w:t xml:space="preserve"> received a</w:t>
      </w:r>
      <w:r w:rsidR="004D1951">
        <w:t xml:space="preserve">n award from Minister of Science and Higher Education in 2017. His main scientific interest is devoted to energy storage luminescent materials, dosimeters as well as phosphors for solid state lighting and luminescent temperature sensors. He published more than 140 papers. </w:t>
      </w:r>
    </w:p>
    <w:p w:rsidR="00C95E8B" w:rsidRDefault="00C95E8B" w:rsidP="007D233A">
      <w:pPr>
        <w:jc w:val="both"/>
      </w:pPr>
      <w:bookmarkStart w:id="0" w:name="_GoBack"/>
      <w:bookmarkEnd w:id="0"/>
    </w:p>
    <w:p w:rsidR="007D233A" w:rsidRDefault="007D233A" w:rsidP="007D233A"/>
    <w:p w:rsidR="007D233A" w:rsidRPr="00CD1709" w:rsidRDefault="00CD1709" w:rsidP="004D1951">
      <w:pPr>
        <w:jc w:val="both"/>
        <w:rPr>
          <w:bCs/>
          <w:sz w:val="18"/>
          <w:szCs w:val="18"/>
        </w:rPr>
      </w:pPr>
      <w:r w:rsidRPr="00CD1709">
        <w:rPr>
          <w:bCs/>
          <w:sz w:val="18"/>
          <w:szCs w:val="18"/>
        </w:rPr>
        <w:t>Supported by the National Science Centre (NCN), Poland under grant #UMO-2017/25/B/ST5/00824</w:t>
      </w:r>
      <w:r w:rsidR="004D1951">
        <w:rPr>
          <w:bCs/>
          <w:sz w:val="18"/>
          <w:szCs w:val="18"/>
        </w:rPr>
        <w:t xml:space="preserve"> and</w:t>
      </w:r>
      <w:r w:rsidRPr="00CD1709">
        <w:rPr>
          <w:bCs/>
          <w:sz w:val="18"/>
          <w:szCs w:val="18"/>
        </w:rPr>
        <w:t xml:space="preserve"> the project CICECO—</w:t>
      </w:r>
      <w:proofErr w:type="spellStart"/>
      <w:r w:rsidRPr="00CD1709">
        <w:rPr>
          <w:bCs/>
          <w:sz w:val="18"/>
          <w:szCs w:val="18"/>
        </w:rPr>
        <w:t>Aveiro</w:t>
      </w:r>
      <w:proofErr w:type="spellEnd"/>
      <w:r w:rsidRPr="00CD1709">
        <w:rPr>
          <w:bCs/>
          <w:sz w:val="18"/>
          <w:szCs w:val="18"/>
        </w:rPr>
        <w:t xml:space="preserve"> Institute of Materials (Ref. FCT UID/CTM/50011/2013)</w:t>
      </w:r>
    </w:p>
    <w:sectPr w:rsidR="007D233A" w:rsidRPr="00CD1709"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776E2"/>
    <w:rsid w:val="000D6718"/>
    <w:rsid w:val="001B06AE"/>
    <w:rsid w:val="00265E72"/>
    <w:rsid w:val="002C359D"/>
    <w:rsid w:val="002C3D9B"/>
    <w:rsid w:val="0031455A"/>
    <w:rsid w:val="00363668"/>
    <w:rsid w:val="00384441"/>
    <w:rsid w:val="003A3C5A"/>
    <w:rsid w:val="003C5E0E"/>
    <w:rsid w:val="00437503"/>
    <w:rsid w:val="00441F91"/>
    <w:rsid w:val="004428CE"/>
    <w:rsid w:val="004D195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95E8B"/>
    <w:rsid w:val="00CD1709"/>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3A147E-714F-4C0B-80DA-43D7C6EB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A5A30"/>
    <w:rPr>
      <w:rFonts w:ascii="Times New Roman" w:eastAsia="Batang" w:hAnsi="Times New Roman"/>
      <w:sz w:val="24"/>
      <w:szCs w:val="24"/>
      <w:lang w:eastAsia="ko-KR"/>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7503"/>
    <w:pPr>
      <w:ind w:left="720"/>
      <w:contextualSpacing/>
    </w:pPr>
  </w:style>
  <w:style w:type="paragraph" w:styleId="Tekstdymka">
    <w:name w:val="Balloon Text"/>
    <w:basedOn w:val="Normalny"/>
    <w:link w:val="TekstdymkaZnak"/>
    <w:uiPriority w:val="99"/>
    <w:semiHidden/>
    <w:unhideWhenUsed/>
    <w:rsid w:val="00AF61EB"/>
    <w:rPr>
      <w:rFonts w:ascii="Tahoma" w:hAnsi="Tahoma" w:cs="Tahoma"/>
      <w:sz w:val="16"/>
      <w:szCs w:val="16"/>
    </w:rPr>
  </w:style>
  <w:style w:type="character" w:customStyle="1" w:styleId="TekstdymkaZnak">
    <w:name w:val="Tekst dymka Znak"/>
    <w:basedOn w:val="Domylnaczcionkaakapitu"/>
    <w:link w:val="Tekstdymka"/>
    <w:uiPriority w:val="99"/>
    <w:semiHidden/>
    <w:rsid w:val="00AF61EB"/>
    <w:rPr>
      <w:rFonts w:ascii="Tahoma" w:eastAsia="Batang" w:hAnsi="Tahoma" w:cs="Tahoma"/>
      <w:sz w:val="16"/>
      <w:szCs w:val="16"/>
      <w:lang w:eastAsia="ko-KR"/>
    </w:rPr>
  </w:style>
  <w:style w:type="paragraph" w:styleId="Legenda">
    <w:name w:val="caption"/>
    <w:basedOn w:val="Normalny"/>
    <w:next w:val="Normalny"/>
    <w:uiPriority w:val="35"/>
    <w:unhideWhenUsed/>
    <w:qFormat/>
    <w:rsid w:val="00AF61EB"/>
    <w:pPr>
      <w:spacing w:after="200"/>
    </w:pPr>
    <w:rPr>
      <w:b/>
      <w:bCs/>
      <w:color w:val="4F81BD"/>
      <w:sz w:val="18"/>
      <w:szCs w:val="18"/>
    </w:rPr>
  </w:style>
  <w:style w:type="paragraph" w:customStyle="1" w:styleId="Authors">
    <w:name w:val="Authors"/>
    <w:basedOn w:val="Normalny"/>
    <w:link w:val="Authors0"/>
    <w:autoRedefine/>
    <w:rsid w:val="00CD1709"/>
    <w:pPr>
      <w:jc w:val="center"/>
    </w:pPr>
    <w:rPr>
      <w:rFonts w:eastAsia="Times New Roman"/>
      <w:i/>
      <w:lang w:eastAsia="ru-RU"/>
    </w:rPr>
  </w:style>
  <w:style w:type="character" w:customStyle="1" w:styleId="Authors0">
    <w:name w:val="Authors Знак"/>
    <w:link w:val="Authors"/>
    <w:rsid w:val="00CD1709"/>
    <w:rPr>
      <w:rFonts w:ascii="Times New Roman" w:eastAsia="Times New Roman" w:hAnsi="Times New Roman"/>
      <w: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397</Words>
  <Characters>2384</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Eugeniusz Zych</cp:lastModifiedBy>
  <cp:revision>3</cp:revision>
  <dcterms:created xsi:type="dcterms:W3CDTF">2018-05-09T11:49:00Z</dcterms:created>
  <dcterms:modified xsi:type="dcterms:W3CDTF">2018-05-09T12:41:00Z</dcterms:modified>
</cp:coreProperties>
</file>