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B687B" w14:textId="77777777" w:rsidR="00AE3E37" w:rsidRDefault="00A9499A" w:rsidP="00494130">
      <w:pPr>
        <w:pStyle w:val="Heading1"/>
        <w:spacing w:before="170"/>
        <w:ind w:left="0"/>
      </w:pPr>
      <w:r w:rsidRPr="00A9499A">
        <w:rPr>
          <w:color w:val="337AB7"/>
        </w:rPr>
        <w:t>Effects of Time on the Morphological Property of Hydrogen and Sulphur-free Biogas Solid Oxide Fuel Cell Cermet Anodes</w:t>
      </w:r>
    </w:p>
    <w:p w14:paraId="55741D1C" w14:textId="77777777" w:rsidR="00AE3E37" w:rsidRPr="00A9499A" w:rsidRDefault="00A9499A" w:rsidP="00A9499A">
      <w:pPr>
        <w:pStyle w:val="BodyText"/>
        <w:spacing w:before="73" w:line="198" w:lineRule="exact"/>
        <w:ind w:left="100" w:right="5987"/>
        <w:rPr>
          <w:rFonts w:ascii="Arial"/>
        </w:rPr>
      </w:pPr>
      <w:r>
        <w:rPr>
          <w:rFonts w:ascii="Arial"/>
        </w:rPr>
        <w:t xml:space="preserve">M Amine Essafi, </w:t>
      </w:r>
      <w:r w:rsidR="00534EC4" w:rsidRPr="00534EC4">
        <w:rPr>
          <w:rFonts w:ascii="Arial"/>
        </w:rPr>
        <w:t>Independent PhD Research</w:t>
      </w:r>
      <w:r>
        <w:rPr>
          <w:rFonts w:ascii="Arial"/>
        </w:rPr>
        <w:t>,</w:t>
      </w:r>
      <w:r w:rsidR="005973B9">
        <w:rPr>
          <w:rFonts w:ascii="Arial"/>
        </w:rPr>
        <w:t xml:space="preserve"> </w:t>
      </w:r>
      <w:r w:rsidR="002A7E75">
        <w:rPr>
          <w:rFonts w:ascii="Arial"/>
        </w:rPr>
        <w:br/>
        <w:t>Frankfurt University of Applied Sciences ,</w:t>
      </w:r>
      <w:r>
        <w:rPr>
          <w:rFonts w:ascii="Arial"/>
        </w:rPr>
        <w:t>GERMANY</w:t>
      </w:r>
      <w:r w:rsidR="005973B9">
        <w:rPr>
          <w:rFonts w:ascii="Arial"/>
        </w:rPr>
        <w:t xml:space="preserve"> </w:t>
      </w:r>
    </w:p>
    <w:p w14:paraId="628DA09F" w14:textId="77777777" w:rsidR="00AE3E37" w:rsidRDefault="00AE3E37">
      <w:pPr>
        <w:pStyle w:val="BodyText"/>
        <w:spacing w:before="3"/>
        <w:rPr>
          <w:rFonts w:ascii="Arial"/>
          <w:sz w:val="21"/>
        </w:rPr>
      </w:pPr>
    </w:p>
    <w:p w14:paraId="6E57F1B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EE0E048" w14:textId="7B4C67E5" w:rsidR="00AE3E37" w:rsidRDefault="00A9710C">
      <w:pPr>
        <w:pStyle w:val="Heading3"/>
        <w:spacing w:before="147"/>
        <w:jc w:val="both"/>
      </w:pPr>
      <w:r>
        <w:rPr>
          <w:color w:val="BF5A14"/>
        </w:rPr>
        <w:lastRenderedPageBreak/>
        <w:t>Abstract</w:t>
      </w:r>
      <w:r w:rsidR="00404E5B">
        <w:rPr>
          <w:color w:val="BF5A14"/>
        </w:rPr>
        <w:t xml:space="preserve"> </w:t>
      </w:r>
    </w:p>
    <w:p w14:paraId="54090C16" w14:textId="77777777" w:rsidR="00534EC4" w:rsidRDefault="00A9499A">
      <w:pPr>
        <w:pStyle w:val="BodyText"/>
        <w:spacing w:before="90" w:line="280" w:lineRule="auto"/>
        <w:ind w:left="100"/>
        <w:jc w:val="both"/>
        <w:rPr>
          <w:noProof/>
        </w:rPr>
      </w:pPr>
      <w:r w:rsidRPr="00A9499A">
        <w:rPr>
          <w:rFonts w:cs="Times New Roman"/>
        </w:rPr>
        <w:t xml:space="preserve">High-temperature solid oxide fuel cells have mainly been used for large-scale stationary power generation in the last decade. The major advantages of this kind of fuel cells is that they can achieve high electric efficiencies; According to the manufacturer, the SOFCs were operating under high temperatures between T=800–1000 °C, with hydrogen and sulphur-free biogas as operating gases. The </w:t>
      </w:r>
      <w:r w:rsidRPr="00A9499A">
        <w:rPr>
          <w:rFonts w:cs="Times New Roman"/>
          <w:color w:val="231F20"/>
        </w:rPr>
        <w:t xml:space="preserve">specimens </w:t>
      </w:r>
      <w:r w:rsidRPr="00A9499A">
        <w:rPr>
          <w:rFonts w:cs="Times New Roman"/>
        </w:rPr>
        <w:t xml:space="preserve">were taken systematically after </w:t>
      </w:r>
      <w:r w:rsidRPr="00A9499A">
        <w:rPr>
          <w:rFonts w:cs="Times New Roman"/>
          <w:color w:val="231F20"/>
        </w:rPr>
        <w:t>2500 hours, then 15000 hours, then 20000 hours, then impregnated by low viscosity epoxy resin and finally ground and polished until obtaining a smooth proper surface for the for laboratory analysis. In this work</w:t>
      </w:r>
      <w:r w:rsidRPr="00A9499A">
        <w:rPr>
          <w:rFonts w:cs="Times New Roman"/>
        </w:rPr>
        <w:t xml:space="preserve">, a </w:t>
      </w:r>
      <w:r w:rsidRPr="00A9499A">
        <w:rPr>
          <w:rFonts w:cs="Times New Roman"/>
          <w:color w:val="231F20"/>
        </w:rPr>
        <w:t>nickel particle distribution</w:t>
      </w:r>
      <w:r w:rsidRPr="00A9499A">
        <w:rPr>
          <w:rFonts w:cs="Times New Roman"/>
        </w:rPr>
        <w:t xml:space="preserve"> </w:t>
      </w:r>
      <w:r w:rsidRPr="00A9499A">
        <w:rPr>
          <w:rFonts w:cs="Times New Roman"/>
          <w:color w:val="231F20"/>
        </w:rPr>
        <w:t xml:space="preserve">in anodes were clearly noticed. The porous cermet anodes composed with Nickel and gadolinium-doped ceria were investigated with the optical microscopy, scanning electron microscopy and </w:t>
      </w:r>
      <w:r w:rsidR="00534EC4" w:rsidRPr="00534EC4">
        <w:rPr>
          <w:rFonts w:cs="Times New Roman"/>
          <w:color w:val="231F20"/>
        </w:rPr>
        <w:t>energy dispersive X-ray spectroscop</w:t>
      </w:r>
      <w:r w:rsidR="00534EC4">
        <w:rPr>
          <w:rFonts w:cs="Times New Roman"/>
          <w:color w:val="231F20"/>
        </w:rPr>
        <w:t>y</w:t>
      </w:r>
      <w:r w:rsidRPr="00A9499A">
        <w:rPr>
          <w:rFonts w:cs="Times New Roman"/>
          <w:color w:val="231F20"/>
        </w:rPr>
        <w:t xml:space="preserve"> to understand the kinetics of the phenomena. All results conducted to the conclusion, that the degeneration of the cells performance is caused by the depletion of nickel in the region of the electrolyte/anode interface, to the coarsening/agglomeration of Nickel particles and also to formation of gadolinium-doped ceria agglomerates through the long operation time</w:t>
      </w:r>
      <w:r w:rsidR="00A9710C">
        <w:t>.</w:t>
      </w:r>
      <w:r w:rsidR="00534EC4" w:rsidRPr="00534EC4">
        <w:rPr>
          <w:noProof/>
        </w:rPr>
        <w:t xml:space="preserve"> </w:t>
      </w:r>
    </w:p>
    <w:p w14:paraId="7A219157" w14:textId="77777777" w:rsidR="00534EC4" w:rsidRDefault="00534EC4" w:rsidP="00534EC4">
      <w:pPr>
        <w:pStyle w:val="BodyText"/>
        <w:spacing w:before="2"/>
        <w:rPr>
          <w:b/>
          <w:noProof/>
        </w:rPr>
      </w:pPr>
      <w:r w:rsidRPr="002F50B1">
        <w:rPr>
          <w:noProof/>
        </w:rPr>
        <w:drawing>
          <wp:inline distT="0" distB="0" distL="0" distR="0" wp14:anchorId="7BA3F667" wp14:editId="5C30D4E3">
            <wp:extent cx="2585858" cy="1070654"/>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90879" cy="1072733"/>
                    </a:xfrm>
                    <a:prstGeom prst="rect">
                      <a:avLst/>
                    </a:prstGeom>
                  </pic:spPr>
                </pic:pic>
              </a:graphicData>
            </a:graphic>
          </wp:inline>
        </w:drawing>
      </w:r>
    </w:p>
    <w:p w14:paraId="74D19F47" w14:textId="77777777" w:rsidR="00534EC4" w:rsidRPr="002F50B1" w:rsidRDefault="00534EC4" w:rsidP="00534EC4">
      <w:pPr>
        <w:pStyle w:val="BodyText"/>
        <w:spacing w:before="2"/>
        <w:rPr>
          <w:noProof/>
        </w:rPr>
      </w:pPr>
      <w:r w:rsidRPr="00534EC4">
        <w:rPr>
          <w:b/>
          <w:noProof/>
        </w:rPr>
        <w:t>Figure1:</w:t>
      </w:r>
      <w:r w:rsidRPr="002F50B1">
        <w:rPr>
          <w:noProof/>
        </w:rPr>
        <w:t xml:space="preserve"> Schematic representation of the SOFC anode microstructure </w:t>
      </w:r>
    </w:p>
    <w:p w14:paraId="28D85D8E" w14:textId="77777777" w:rsidR="00AE3E37" w:rsidRDefault="00AE3E37">
      <w:pPr>
        <w:pStyle w:val="BodyText"/>
        <w:spacing w:before="90" w:line="280" w:lineRule="auto"/>
        <w:ind w:left="100"/>
        <w:jc w:val="both"/>
      </w:pPr>
    </w:p>
    <w:p w14:paraId="0F89E6AF" w14:textId="77777777" w:rsidR="00AE3E37" w:rsidRDefault="00A9710C">
      <w:pPr>
        <w:pStyle w:val="Heading3"/>
        <w:spacing w:before="74"/>
      </w:pPr>
      <w:r>
        <w:rPr>
          <w:b w:val="0"/>
        </w:rPr>
        <w:br w:type="column"/>
      </w:r>
      <w:r>
        <w:rPr>
          <w:color w:val="BF5A14"/>
        </w:rPr>
        <w:lastRenderedPageBreak/>
        <w:t>Image</w:t>
      </w:r>
    </w:p>
    <w:p w14:paraId="38636FBD" w14:textId="77777777" w:rsidR="00534EC4" w:rsidRDefault="00534EC4" w:rsidP="00534EC4">
      <w:pPr>
        <w:pStyle w:val="BodyText"/>
        <w:spacing w:before="2"/>
        <w:rPr>
          <w:noProof/>
        </w:rPr>
      </w:pPr>
    </w:p>
    <w:p w14:paraId="59C266EC" w14:textId="77777777" w:rsidR="00534EC4" w:rsidRDefault="00534EC4" w:rsidP="00534EC4">
      <w:pPr>
        <w:pStyle w:val="BodyText"/>
        <w:spacing w:before="2"/>
      </w:pPr>
      <w:r w:rsidRPr="002F50B1">
        <w:rPr>
          <w:noProof/>
        </w:rPr>
        <w:drawing>
          <wp:inline distT="0" distB="0" distL="0" distR="0" wp14:anchorId="6BDB9D9F" wp14:editId="633AC0A4">
            <wp:extent cx="1947142" cy="146045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79596" cy="1484797"/>
                    </a:xfrm>
                    <a:prstGeom prst="rect">
                      <a:avLst/>
                    </a:prstGeom>
                  </pic:spPr>
                </pic:pic>
              </a:graphicData>
            </a:graphic>
          </wp:inline>
        </w:drawing>
      </w:r>
      <w:r w:rsidRPr="002F50B1">
        <w:t xml:space="preserve"> </w:t>
      </w:r>
    </w:p>
    <w:p w14:paraId="11F34D98" w14:textId="77777777" w:rsidR="00534EC4" w:rsidRPr="002F50B1" w:rsidRDefault="00534EC4" w:rsidP="00534EC4">
      <w:pPr>
        <w:pStyle w:val="BodyText"/>
        <w:spacing w:before="2"/>
      </w:pPr>
      <w:r w:rsidRPr="00534EC4">
        <w:rPr>
          <w:b/>
        </w:rPr>
        <w:t>Figure 2:</w:t>
      </w:r>
      <w:r w:rsidRPr="002F50B1">
        <w:t xml:space="preserve"> Light microscopy images of the embedded SOFC cells after 20000 hours</w:t>
      </w:r>
    </w:p>
    <w:p w14:paraId="3DF47C3D" w14:textId="77777777" w:rsidR="00AE3E37" w:rsidRDefault="00AE3E37">
      <w:pPr>
        <w:pStyle w:val="BodyText"/>
        <w:spacing w:before="2"/>
        <w:rPr>
          <w:rFonts w:ascii="Arial"/>
          <w:b/>
          <w:sz w:val="16"/>
        </w:rPr>
      </w:pPr>
    </w:p>
    <w:p w14:paraId="674EF697" w14:textId="6680F11D" w:rsidR="005973B9" w:rsidRDefault="005973B9" w:rsidP="005973B9">
      <w:pPr>
        <w:spacing w:line="204" w:lineRule="exact"/>
        <w:rPr>
          <w:rFonts w:ascii="Arial"/>
          <w:b/>
          <w:sz w:val="20"/>
        </w:rPr>
      </w:pPr>
      <w:r>
        <w:rPr>
          <w:rFonts w:ascii="Arial"/>
          <w:b/>
          <w:color w:val="BF5A14"/>
          <w:sz w:val="20"/>
        </w:rPr>
        <w:br/>
        <w:t xml:space="preserve">Recent Publications </w:t>
      </w:r>
    </w:p>
    <w:p w14:paraId="5B56F52A" w14:textId="77777777" w:rsidR="005973B9" w:rsidRDefault="002A7E75" w:rsidP="005973B9">
      <w:pPr>
        <w:pStyle w:val="ListParagraph"/>
        <w:numPr>
          <w:ilvl w:val="0"/>
          <w:numId w:val="3"/>
        </w:numPr>
        <w:tabs>
          <w:tab w:val="left" w:pos="384"/>
        </w:tabs>
        <w:spacing w:before="103" w:line="216" w:lineRule="exact"/>
        <w:ind w:right="138" w:hanging="283"/>
        <w:rPr>
          <w:sz w:val="18"/>
        </w:rPr>
      </w:pPr>
      <w:r w:rsidRPr="002A7E75">
        <w:rPr>
          <w:sz w:val="18"/>
        </w:rPr>
        <w:t>Zekri A, Schnetger B, Essafi M A, Plaggenborg T, Parisi P, Knipper M</w:t>
      </w:r>
      <w:r w:rsidR="005973B9">
        <w:rPr>
          <w:sz w:val="18"/>
        </w:rPr>
        <w:t xml:space="preserve"> (20</w:t>
      </w:r>
      <w:r>
        <w:rPr>
          <w:sz w:val="18"/>
        </w:rPr>
        <w:t>17</w:t>
      </w:r>
      <w:r w:rsidR="005973B9">
        <w:rPr>
          <w:sz w:val="18"/>
        </w:rPr>
        <w:t xml:space="preserve">) </w:t>
      </w:r>
      <w:r w:rsidRPr="002A7E75">
        <w:rPr>
          <w:sz w:val="18"/>
        </w:rPr>
        <w:t>Microstructure Degradation of LSM/YSZ Cathodes for Solid Oxide Fuel Cells Aged in Stack after Long Operation Time</w:t>
      </w:r>
      <w:r w:rsidR="005973B9" w:rsidRPr="005973B9">
        <w:rPr>
          <w:sz w:val="18"/>
        </w:rPr>
        <w:t xml:space="preserve">. </w:t>
      </w:r>
      <w:r w:rsidRPr="002A7E75">
        <w:rPr>
          <w:sz w:val="18"/>
        </w:rPr>
        <w:t>J. Electrochem. Soc. 2017 volume 164, issue 13, F1385-F1391</w:t>
      </w:r>
      <w:r w:rsidR="005973B9" w:rsidRPr="005973B9">
        <w:rPr>
          <w:sz w:val="18"/>
        </w:rPr>
        <w:t>.</w:t>
      </w:r>
    </w:p>
    <w:p w14:paraId="32084531" w14:textId="326A204E" w:rsidR="005973B9" w:rsidRPr="001D2F33" w:rsidRDefault="00770261" w:rsidP="001D2F33">
      <w:pPr>
        <w:pStyle w:val="ListParagraph"/>
        <w:numPr>
          <w:ilvl w:val="0"/>
          <w:numId w:val="3"/>
        </w:numPr>
        <w:tabs>
          <w:tab w:val="left" w:pos="384"/>
        </w:tabs>
        <w:spacing w:line="216" w:lineRule="exact"/>
        <w:ind w:right="137" w:hanging="283"/>
        <w:rPr>
          <w:sz w:val="18"/>
        </w:rPr>
      </w:pPr>
      <w:r w:rsidRPr="001251E7">
        <w:rPr>
          <w:sz w:val="18"/>
        </w:rPr>
        <w:t>Essafi</w:t>
      </w:r>
      <w:r>
        <w:rPr>
          <w:sz w:val="18"/>
        </w:rPr>
        <w:t xml:space="preserve"> M A</w:t>
      </w:r>
      <w:r w:rsidRPr="001251E7">
        <w:rPr>
          <w:sz w:val="18"/>
        </w:rPr>
        <w:t>, Microstructural Investigation of Nickel Percolation in Porous Ni–CGO Anodes for Solid Oxide Fuel Cells by Low-Voltage Field Emission Scanning Electron Microscopy</w:t>
      </w:r>
      <w:r w:rsidR="001D2F33">
        <w:rPr>
          <w:sz w:val="18"/>
        </w:rPr>
        <w:t xml:space="preserve"> (</w:t>
      </w:r>
      <w:r w:rsidR="001D2F33" w:rsidRPr="001251E7">
        <w:rPr>
          <w:sz w:val="18"/>
        </w:rPr>
        <w:t>2017</w:t>
      </w:r>
      <w:r w:rsidR="001D2F33">
        <w:rPr>
          <w:sz w:val="18"/>
        </w:rPr>
        <w:t>)</w:t>
      </w:r>
      <w:r w:rsidRPr="001251E7">
        <w:rPr>
          <w:sz w:val="18"/>
        </w:rPr>
        <w:t>, 7th International Conference on Fundamentals &amp; Development of Fuel Cells, German Aerospace Centre (DLR), Stuttgart,</w:t>
      </w:r>
      <w:r w:rsidR="001D2F33">
        <w:rPr>
          <w:sz w:val="18"/>
        </w:rPr>
        <w:t xml:space="preserve"> 2017</w:t>
      </w:r>
      <w:r w:rsidRPr="001251E7">
        <w:rPr>
          <w:sz w:val="18"/>
        </w:rPr>
        <w:t xml:space="preserve"> </w:t>
      </w:r>
    </w:p>
    <w:p w14:paraId="4A18849E" w14:textId="77777777" w:rsidR="00AE3E37" w:rsidRPr="008756E6" w:rsidRDefault="00AE3E37" w:rsidP="008756E6">
      <w:pPr>
        <w:tabs>
          <w:tab w:val="left" w:pos="384"/>
        </w:tabs>
        <w:ind w:right="117"/>
      </w:pPr>
    </w:p>
    <w:p w14:paraId="29A48D3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8CA85CC" w14:textId="77777777" w:rsidR="00AE3E37" w:rsidRDefault="00AE3E37">
      <w:pPr>
        <w:pStyle w:val="BodyText"/>
        <w:rPr>
          <w:rFonts w:ascii="Calibri"/>
          <w:sz w:val="20"/>
        </w:rPr>
      </w:pPr>
    </w:p>
    <w:p w14:paraId="7C7B9E8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82334A0" wp14:editId="59A6D44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D7D7C75" w14:textId="6DE7C8BB" w:rsidR="00AE3E37" w:rsidRDefault="008E4D68" w:rsidP="00404E5B">
      <w:pPr>
        <w:spacing w:before="92"/>
        <w:ind w:right="4234"/>
        <w:rPr>
          <w:rFonts w:ascii="Arial"/>
        </w:rPr>
      </w:pPr>
      <w:r>
        <w:rPr>
          <w:noProof/>
        </w:rPr>
        <w:t xml:space="preserve">           </w:t>
      </w:r>
      <w:r w:rsidR="008756E6">
        <w:rPr>
          <w:noProof/>
        </w:rPr>
        <w:t xml:space="preserve"> </w:t>
      </w:r>
      <w:r>
        <w:rPr>
          <w:rFonts w:ascii="Arial"/>
          <w:noProof/>
          <w:color w:val="BF5A14"/>
        </w:rPr>
        <w:drawing>
          <wp:inline distT="0" distB="0" distL="0" distR="0" wp14:anchorId="0F877E67" wp14:editId="5C09018C">
            <wp:extent cx="671836" cy="63000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 M. Amine Essaf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1836" cy="630000"/>
                    </a:xfrm>
                    <a:prstGeom prst="rect">
                      <a:avLst/>
                    </a:prstGeom>
                  </pic:spPr>
                </pic:pic>
              </a:graphicData>
            </a:graphic>
          </wp:inline>
        </w:drawing>
      </w:r>
      <w:r>
        <w:rPr>
          <w:noProof/>
        </w:rPr>
        <w:t xml:space="preserve"> </w:t>
      </w:r>
      <w:bookmarkStart w:id="0" w:name="_GoBack"/>
      <w:bookmarkEnd w:id="0"/>
      <w:r w:rsidR="00A9710C">
        <w:rPr>
          <w:rFonts w:ascii="Arial"/>
          <w:color w:val="BF5A14"/>
        </w:rPr>
        <w:t>Biography</w:t>
      </w:r>
      <w:r w:rsidR="00404E5B">
        <w:rPr>
          <w:rFonts w:ascii="Arial"/>
          <w:color w:val="BF5A14"/>
        </w:rPr>
        <w:t xml:space="preserve"> </w:t>
      </w:r>
    </w:p>
    <w:p w14:paraId="421C5F0F" w14:textId="552600AA" w:rsidR="00AE3E37" w:rsidRDefault="008E4D68" w:rsidP="008E4D68">
      <w:pPr>
        <w:jc w:val="both"/>
        <w:rPr>
          <w:rFonts w:ascii="Arial"/>
          <w:sz w:val="14"/>
        </w:rPr>
      </w:pPr>
      <w:r w:rsidRPr="00144996">
        <w:rPr>
          <w:rFonts w:ascii="Arial"/>
          <w:sz w:val="14"/>
        </w:rPr>
        <w:t xml:space="preserve">M. </w:t>
      </w:r>
      <w:r>
        <w:rPr>
          <w:rFonts w:ascii="Arial"/>
          <w:sz w:val="14"/>
        </w:rPr>
        <w:t xml:space="preserve">AMINE ESSAFI, </w:t>
      </w:r>
      <w:r>
        <w:rPr>
          <w:rFonts w:ascii="Arial"/>
          <w:sz w:val="14"/>
        </w:rPr>
        <w:t xml:space="preserve">obtained </w:t>
      </w:r>
      <w:r w:rsidRPr="00144996">
        <w:rPr>
          <w:rFonts w:ascii="Arial"/>
          <w:sz w:val="14"/>
        </w:rPr>
        <w:t xml:space="preserve">his </w:t>
      </w:r>
      <w:r>
        <w:rPr>
          <w:rFonts w:ascii="Arial"/>
          <w:sz w:val="14"/>
        </w:rPr>
        <w:t>two e</w:t>
      </w:r>
      <w:r w:rsidRPr="00144996">
        <w:rPr>
          <w:rFonts w:ascii="Arial"/>
          <w:sz w:val="14"/>
        </w:rPr>
        <w:t>ngineer</w:t>
      </w:r>
      <w:r w:rsidRPr="00144996">
        <w:rPr>
          <w:rFonts w:ascii="Arial"/>
          <w:sz w:val="14"/>
        </w:rPr>
        <w:t>’</w:t>
      </w:r>
      <w:r>
        <w:rPr>
          <w:rFonts w:ascii="Arial"/>
          <w:sz w:val="14"/>
        </w:rPr>
        <w:t>s d</w:t>
      </w:r>
      <w:r w:rsidRPr="00144996">
        <w:rPr>
          <w:rFonts w:ascii="Arial"/>
          <w:sz w:val="14"/>
        </w:rPr>
        <w:t>egrees (Dipl.-Ing.) in Mechatronics</w:t>
      </w:r>
      <w:r>
        <w:rPr>
          <w:rFonts w:ascii="Arial"/>
          <w:sz w:val="14"/>
        </w:rPr>
        <w:t>/</w:t>
      </w:r>
      <w:r w:rsidRPr="00A26676">
        <w:t xml:space="preserve"> </w:t>
      </w:r>
      <w:r>
        <w:rPr>
          <w:rFonts w:ascii="Arial"/>
          <w:sz w:val="14"/>
        </w:rPr>
        <w:t>Micro Systems T</w:t>
      </w:r>
      <w:r w:rsidRPr="00A26676">
        <w:rPr>
          <w:rFonts w:ascii="Arial"/>
          <w:sz w:val="14"/>
        </w:rPr>
        <w:t xml:space="preserve">echnology </w:t>
      </w:r>
      <w:r w:rsidRPr="00144996">
        <w:rPr>
          <w:rFonts w:ascii="Arial"/>
          <w:sz w:val="14"/>
        </w:rPr>
        <w:t>from the Saarland University and in Engineering Physics (B.Eng.) from Trier University of Applied Sciences. His main areas of research are measurement technology, material sciences and experimental physics.</w:t>
      </w:r>
      <w:r>
        <w:rPr>
          <w:rFonts w:ascii="Arial"/>
          <w:sz w:val="14"/>
        </w:rPr>
        <w:t xml:space="preserve"> H</w:t>
      </w:r>
      <w:r w:rsidRPr="00115C70">
        <w:rPr>
          <w:rFonts w:ascii="Arial"/>
          <w:sz w:val="14"/>
        </w:rPr>
        <w:t xml:space="preserve">is </w:t>
      </w:r>
      <w:r>
        <w:rPr>
          <w:rFonts w:ascii="Arial"/>
          <w:sz w:val="14"/>
        </w:rPr>
        <w:t>previous</w:t>
      </w:r>
      <w:r w:rsidRPr="00115C70">
        <w:rPr>
          <w:rFonts w:ascii="Arial"/>
          <w:sz w:val="14"/>
        </w:rPr>
        <w:t xml:space="preserve"> work</w:t>
      </w:r>
      <w:r>
        <w:rPr>
          <w:rFonts w:ascii="Arial"/>
          <w:sz w:val="14"/>
        </w:rPr>
        <w:t>s</w:t>
      </w:r>
      <w:r w:rsidRPr="00115C70">
        <w:rPr>
          <w:rFonts w:ascii="Arial"/>
          <w:sz w:val="14"/>
        </w:rPr>
        <w:t xml:space="preserve"> focuse</w:t>
      </w:r>
      <w:r>
        <w:rPr>
          <w:rFonts w:ascii="Arial"/>
          <w:sz w:val="14"/>
        </w:rPr>
        <w:t>d</w:t>
      </w:r>
      <w:r w:rsidRPr="00115C70">
        <w:rPr>
          <w:rFonts w:ascii="Arial"/>
          <w:sz w:val="14"/>
        </w:rPr>
        <w:t xml:space="preserve"> on </w:t>
      </w:r>
      <w:r>
        <w:rPr>
          <w:rFonts w:ascii="Arial"/>
          <w:sz w:val="14"/>
        </w:rPr>
        <w:t>microstructure investigations of degradation mechanisms</w:t>
      </w:r>
      <w:r w:rsidRPr="00144996">
        <w:rPr>
          <w:rFonts w:ascii="Arial"/>
          <w:sz w:val="14"/>
        </w:rPr>
        <w:t xml:space="preserve"> </w:t>
      </w:r>
      <w:r>
        <w:rPr>
          <w:rFonts w:ascii="Arial"/>
          <w:sz w:val="14"/>
        </w:rPr>
        <w:t>in</w:t>
      </w:r>
      <w:r w:rsidRPr="00144996">
        <w:rPr>
          <w:rFonts w:ascii="Arial"/>
          <w:sz w:val="14"/>
        </w:rPr>
        <w:t xml:space="preserve"> Solid oxide fuel cells (SOFC)</w:t>
      </w:r>
      <w:r>
        <w:rPr>
          <w:rFonts w:ascii="Arial"/>
          <w:sz w:val="14"/>
        </w:rPr>
        <w:t>. He is currently working at the high-tech industry and doing an independent PhD</w:t>
      </w:r>
      <w:r>
        <w:rPr>
          <w:rFonts w:ascii="Arial"/>
          <w:sz w:val="14"/>
        </w:rPr>
        <w:t xml:space="preserve"> </w:t>
      </w:r>
      <w:r>
        <w:rPr>
          <w:rFonts w:ascii="Arial"/>
          <w:sz w:val="14"/>
        </w:rPr>
        <w:t xml:space="preserve">and </w:t>
      </w:r>
      <w:r>
        <w:rPr>
          <w:rFonts w:ascii="Arial"/>
          <w:sz w:val="14"/>
        </w:rPr>
        <w:t>part-time</w:t>
      </w:r>
      <w:r>
        <w:rPr>
          <w:rFonts w:ascii="Arial"/>
          <w:sz w:val="14"/>
        </w:rPr>
        <w:t xml:space="preserve"> MBA</w:t>
      </w:r>
      <w:r>
        <w:rPr>
          <w:rFonts w:ascii="Arial"/>
          <w:sz w:val="14"/>
        </w:rPr>
        <w:t xml:space="preserve"> </w:t>
      </w:r>
      <w:r>
        <w:rPr>
          <w:rFonts w:ascii="Arial"/>
          <w:sz w:val="14"/>
        </w:rPr>
        <w:t>at Frankfurt University of Applied Sciences</w:t>
      </w:r>
      <w:r w:rsidRPr="00144996">
        <w:rPr>
          <w:rFonts w:ascii="Arial"/>
          <w:sz w:val="14"/>
        </w:rPr>
        <w:t xml:space="preserve">, </w:t>
      </w:r>
      <w:r>
        <w:rPr>
          <w:rFonts w:ascii="Arial"/>
          <w:sz w:val="14"/>
        </w:rPr>
        <w:t>Germany.</w:t>
      </w:r>
      <w:r w:rsidRPr="00A26676">
        <w:t xml:space="preserve"> </w:t>
      </w:r>
      <w:r>
        <w:rPr>
          <w:rFonts w:ascii="Arial"/>
          <w:sz w:val="14"/>
        </w:rPr>
        <w:t xml:space="preserve">He is author of a number of publications and he </w:t>
      </w:r>
      <w:r w:rsidRPr="00A26676">
        <w:rPr>
          <w:rFonts w:ascii="Arial"/>
          <w:sz w:val="14"/>
        </w:rPr>
        <w:t xml:space="preserve">holds </w:t>
      </w:r>
      <w:r>
        <w:rPr>
          <w:rFonts w:ascii="Arial"/>
          <w:sz w:val="14"/>
        </w:rPr>
        <w:t>a patent.</w:t>
      </w:r>
    </w:p>
    <w:p w14:paraId="55779206" w14:textId="7A130E25" w:rsidR="00AE3E37" w:rsidRDefault="00A9710C">
      <w:pPr>
        <w:spacing w:before="62"/>
        <w:ind w:left="4217" w:right="4235"/>
        <w:jc w:val="center"/>
        <w:rPr>
          <w:rFonts w:ascii="Arial"/>
          <w:sz w:val="14"/>
        </w:rPr>
      </w:pPr>
      <w:r>
        <w:rPr>
          <w:rFonts w:ascii="Arial"/>
          <w:sz w:val="14"/>
        </w:rPr>
        <w:t xml:space="preserve">Email: </w:t>
      </w:r>
      <w:r w:rsidR="008E4D68">
        <w:rPr>
          <w:rFonts w:ascii="Arial"/>
          <w:sz w:val="14"/>
        </w:rPr>
        <w:t>essafi@web.de</w:t>
      </w:r>
    </w:p>
    <w:p w14:paraId="6729C64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96B3825" wp14:editId="5155C1B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8A839F4" w14:textId="77777777" w:rsidR="00AE3E37" w:rsidRDefault="00AE3E37">
      <w:pPr>
        <w:pStyle w:val="BodyText"/>
        <w:rPr>
          <w:rFonts w:ascii="Arial"/>
          <w:sz w:val="20"/>
        </w:rPr>
      </w:pPr>
    </w:p>
    <w:p w14:paraId="78C42D43" w14:textId="77777777" w:rsidR="00AE3E37" w:rsidRDefault="00AE3E37">
      <w:pPr>
        <w:pStyle w:val="BodyText"/>
        <w:rPr>
          <w:rFonts w:ascii="Arial"/>
          <w:sz w:val="20"/>
        </w:rPr>
      </w:pPr>
    </w:p>
    <w:p w14:paraId="19096B90" w14:textId="77777777" w:rsidR="00AE3E37" w:rsidRDefault="00AE3E37">
      <w:pPr>
        <w:pStyle w:val="BodyText"/>
        <w:spacing w:before="7"/>
        <w:rPr>
          <w:rFonts w:ascii="Arial"/>
          <w:sz w:val="29"/>
        </w:rPr>
      </w:pPr>
    </w:p>
    <w:p w14:paraId="19702F7C" w14:textId="77777777" w:rsidR="00AE3E37" w:rsidRPr="00B21A57" w:rsidRDefault="00A9710C">
      <w:pPr>
        <w:spacing w:before="39"/>
        <w:ind w:left="100"/>
        <w:rPr>
          <w:rFonts w:ascii="Minion Pro"/>
          <w:b/>
          <w:sz w:val="20"/>
        </w:rPr>
      </w:pPr>
      <w:r w:rsidRPr="00B21A57">
        <w:rPr>
          <w:rFonts w:ascii="Minion Pro"/>
          <w:b/>
          <w:sz w:val="20"/>
        </w:rPr>
        <w:t>Notes/Comments:</w:t>
      </w:r>
    </w:p>
    <w:p w14:paraId="7FDA560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6241EC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40CB9" w14:textId="77777777" w:rsidR="00D27B7E" w:rsidRDefault="00D27B7E">
      <w:r>
        <w:separator/>
      </w:r>
    </w:p>
  </w:endnote>
  <w:endnote w:type="continuationSeparator" w:id="0">
    <w:p w14:paraId="660F6EE7" w14:textId="77777777" w:rsidR="00D27B7E" w:rsidRDefault="00D27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81B29" w14:textId="6DF50830" w:rsidR="00AE3E37" w:rsidRDefault="00AE3E37">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407EB" w14:textId="77777777" w:rsidR="00D27B7E" w:rsidRDefault="00D27B7E">
      <w:r>
        <w:separator/>
      </w:r>
    </w:p>
  </w:footnote>
  <w:footnote w:type="continuationSeparator" w:id="0">
    <w:p w14:paraId="3DCB7A77" w14:textId="77777777" w:rsidR="00D27B7E" w:rsidRDefault="00D27B7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8AD5F" w14:textId="5094D7B6"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2F33"/>
    <w:rsid w:val="00292ED9"/>
    <w:rsid w:val="002A7E75"/>
    <w:rsid w:val="00404E5B"/>
    <w:rsid w:val="00414F7B"/>
    <w:rsid w:val="004355DC"/>
    <w:rsid w:val="004749B4"/>
    <w:rsid w:val="00494130"/>
    <w:rsid w:val="004F3523"/>
    <w:rsid w:val="00534EC4"/>
    <w:rsid w:val="005973B9"/>
    <w:rsid w:val="005B3A56"/>
    <w:rsid w:val="006060CE"/>
    <w:rsid w:val="0063497F"/>
    <w:rsid w:val="00770261"/>
    <w:rsid w:val="00873DF0"/>
    <w:rsid w:val="008756E6"/>
    <w:rsid w:val="008E4D68"/>
    <w:rsid w:val="009B2D44"/>
    <w:rsid w:val="00A07E82"/>
    <w:rsid w:val="00A9499A"/>
    <w:rsid w:val="00A9710C"/>
    <w:rsid w:val="00AE3E37"/>
    <w:rsid w:val="00B21A57"/>
    <w:rsid w:val="00C33602"/>
    <w:rsid w:val="00CD6F55"/>
    <w:rsid w:val="00D27B7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5F8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441</Words>
  <Characters>2517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Amine Essafi</cp:lastModifiedBy>
  <cp:revision>5</cp:revision>
  <dcterms:created xsi:type="dcterms:W3CDTF">2016-08-31T10:27:00Z</dcterms:created>
  <dcterms:modified xsi:type="dcterms:W3CDTF">2017-11-01T22:22:00Z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