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77C" w:rsidRPr="0033777C" w:rsidRDefault="0033777C" w:rsidP="0033777C">
      <w:pPr>
        <w:jc w:val="center"/>
        <w:rPr>
          <w:rFonts w:ascii="Times New Roman" w:hAnsi="Times New Roman" w:cs="Times New Roman"/>
          <w:b/>
          <w:sz w:val="24"/>
          <w:szCs w:val="24"/>
        </w:rPr>
      </w:pPr>
      <w:r w:rsidRPr="0033777C">
        <w:rPr>
          <w:rFonts w:ascii="Times New Roman" w:hAnsi="Times New Roman" w:cs="Times New Roman"/>
          <w:b/>
          <w:sz w:val="24"/>
          <w:szCs w:val="24"/>
        </w:rPr>
        <w:t>Mechanical Property Enhancement of Layered Reduced Graphene Oxide Papers by Non-Covalent Modifi cation with Terephthalic Acid</w:t>
      </w:r>
    </w:p>
    <w:p w:rsidR="0033777C" w:rsidRPr="00CF5B2E" w:rsidRDefault="00CF5B2E" w:rsidP="0033777C">
      <w:pPr>
        <w:jc w:val="center"/>
        <w:rPr>
          <w:rFonts w:ascii="Times New Roman" w:hAnsi="Times New Roman" w:cs="Times New Roman"/>
          <w:b/>
          <w:sz w:val="24"/>
          <w:szCs w:val="24"/>
        </w:rPr>
      </w:pPr>
      <w:r>
        <w:rPr>
          <w:rFonts w:ascii="Times New Roman" w:hAnsi="Times New Roman" w:cs="Times New Roman"/>
          <w:b/>
          <w:sz w:val="24"/>
          <w:szCs w:val="24"/>
        </w:rPr>
        <w:t>Osman Eksik</w:t>
      </w:r>
      <w:r w:rsidRPr="00CF5B2E">
        <w:rPr>
          <w:rFonts w:ascii="Times New Roman" w:hAnsi="Times New Roman" w:cs="Times New Roman"/>
          <w:b/>
          <w:sz w:val="24"/>
          <w:szCs w:val="24"/>
          <w:vertAlign w:val="superscript"/>
        </w:rPr>
        <w:t>1</w:t>
      </w:r>
      <w:r>
        <w:rPr>
          <w:rFonts w:ascii="Times New Roman" w:hAnsi="Times New Roman" w:cs="Times New Roman"/>
          <w:b/>
          <w:sz w:val="24"/>
          <w:szCs w:val="24"/>
        </w:rPr>
        <w:t xml:space="preserve">, </w:t>
      </w:r>
      <w:r>
        <w:rPr>
          <w:rFonts w:ascii="Times New Roman" w:hAnsi="Times New Roman" w:cs="Times New Roman"/>
          <w:b/>
          <w:sz w:val="24"/>
          <w:szCs w:val="24"/>
          <w:lang w:val="en-US"/>
        </w:rPr>
        <w:t>Phil</w:t>
      </w:r>
      <w:r>
        <w:rPr>
          <w:rFonts w:ascii="Times New Roman" w:hAnsi="Times New Roman" w:cs="Times New Roman"/>
          <w:b/>
          <w:sz w:val="24"/>
          <w:szCs w:val="24"/>
        </w:rPr>
        <w:t xml:space="preserve"> Chow</w:t>
      </w:r>
      <w:r w:rsidRPr="00CF5B2E">
        <w:rPr>
          <w:rFonts w:ascii="Times New Roman" w:hAnsi="Times New Roman" w:cs="Times New Roman"/>
          <w:b/>
          <w:sz w:val="24"/>
          <w:szCs w:val="24"/>
          <w:vertAlign w:val="superscript"/>
        </w:rPr>
        <w:t>2</w:t>
      </w:r>
      <w:r>
        <w:rPr>
          <w:rFonts w:ascii="Times New Roman" w:hAnsi="Times New Roman" w:cs="Times New Roman"/>
          <w:b/>
          <w:sz w:val="24"/>
          <w:szCs w:val="24"/>
        </w:rPr>
        <w:t xml:space="preserve">, </w:t>
      </w:r>
      <w:r>
        <w:rPr>
          <w:rFonts w:ascii="Times New Roman" w:hAnsi="Times New Roman" w:cs="Times New Roman"/>
          <w:b/>
          <w:sz w:val="24"/>
          <w:szCs w:val="24"/>
          <w:lang w:val="en-US"/>
        </w:rPr>
        <w:t>Nikhil</w:t>
      </w:r>
      <w:r>
        <w:rPr>
          <w:rFonts w:ascii="Times New Roman" w:hAnsi="Times New Roman" w:cs="Times New Roman"/>
          <w:b/>
          <w:sz w:val="24"/>
          <w:szCs w:val="24"/>
        </w:rPr>
        <w:t xml:space="preserve"> Koratkar</w:t>
      </w:r>
      <w:r w:rsidRPr="00CF5B2E">
        <w:rPr>
          <w:rFonts w:ascii="Times New Roman" w:hAnsi="Times New Roman" w:cs="Times New Roman"/>
          <w:b/>
          <w:sz w:val="24"/>
          <w:szCs w:val="24"/>
          <w:vertAlign w:val="superscript"/>
        </w:rPr>
        <w:t>2</w:t>
      </w:r>
    </w:p>
    <w:p w:rsidR="007C519A" w:rsidRDefault="007C519A" w:rsidP="007C519A">
      <w:pPr>
        <w:autoSpaceDE w:val="0"/>
        <w:autoSpaceDN w:val="0"/>
        <w:adjustRightInd w:val="0"/>
        <w:jc w:val="center"/>
      </w:pPr>
      <w:r w:rsidRPr="00B6310B">
        <w:rPr>
          <w:vertAlign w:val="superscript"/>
        </w:rPr>
        <w:t>1</w:t>
      </w:r>
      <w:r w:rsidRPr="007C19D1">
        <w:t xml:space="preserve">Department of </w:t>
      </w:r>
      <w:r>
        <w:t xml:space="preserve">Chemical </w:t>
      </w:r>
      <w:r w:rsidRPr="007C19D1">
        <w:t xml:space="preserve">Engineering, </w:t>
      </w:r>
      <w:r>
        <w:t>Istanbul Technical University</w:t>
      </w:r>
      <w:r w:rsidRPr="007C19D1">
        <w:t xml:space="preserve">, </w:t>
      </w:r>
      <w:r>
        <w:t>34469</w:t>
      </w:r>
      <w:r w:rsidRPr="007C19D1">
        <w:t xml:space="preserve">, </w:t>
      </w:r>
      <w:r>
        <w:t>Istanbul-Turkey</w:t>
      </w:r>
    </w:p>
    <w:p w:rsidR="007C519A" w:rsidRDefault="007C519A" w:rsidP="007C519A">
      <w:pPr>
        <w:autoSpaceDE w:val="0"/>
        <w:autoSpaceDN w:val="0"/>
        <w:adjustRightInd w:val="0"/>
        <w:jc w:val="center"/>
      </w:pPr>
      <w:r>
        <w:rPr>
          <w:vertAlign w:val="superscript"/>
        </w:rPr>
        <w:t>2</w:t>
      </w:r>
      <w:r w:rsidRPr="007C19D1">
        <w:t xml:space="preserve">Department of Mechanical Engineering, Rensselaer Polytechnic Institute, 110 8th Street, Troy </w:t>
      </w:r>
    </w:p>
    <w:p w:rsidR="0033777C" w:rsidRDefault="0033777C" w:rsidP="0033777C">
      <w:pPr>
        <w:jc w:val="both"/>
      </w:pPr>
    </w:p>
    <w:p w:rsidR="0033777C" w:rsidRPr="0033777C" w:rsidRDefault="0033777C" w:rsidP="0033777C">
      <w:pPr>
        <w:jc w:val="both"/>
        <w:rPr>
          <w:rFonts w:ascii="Times New Roman" w:hAnsi="Times New Roman" w:cs="Times New Roman"/>
          <w:sz w:val="24"/>
          <w:szCs w:val="24"/>
        </w:rPr>
      </w:pPr>
      <w:r w:rsidRPr="0033777C">
        <w:rPr>
          <w:rFonts w:ascii="Times New Roman" w:hAnsi="Times New Roman" w:cs="Times New Roman"/>
          <w:sz w:val="24"/>
          <w:szCs w:val="24"/>
        </w:rPr>
        <w:t>Layered reduced graphene oxide (rGO) “paper” materials have been explored recently in hopes of harnessing the remarkable electrical, mechanical, and thermal properties of graphene in an easily processed bulk, self-supporting material. Removal of oxygen groups (e.g., by hydrazine reduction) from the basal plane of hydrophilic graphene oxide (GO) fl akes in colloidal suspension leaves an electrically conductive and hydrophobic rGO-layered material after fi ltration through a nanoporous membrane. [1,2] Such layered rGO papers are mechanically stiff and electrically conductive with reported stiffness and bulk electrical conductivity values as high as ≈ 42 GPa and ≈ 351 S cm −1 , respectively. rGO papers have many potential applications such as in fl exible electronics, solar cells, energy storage devices (e.g., Li-ion batteries, super-capacitors) and composites.These studies demonstrated hat π – π interactions between the molecule and the graphene/ graphite surface and the carboxylic acid–graphene interactions determine the adsorption energy and the resul</w:t>
      </w:r>
      <w:r w:rsidR="00CF5B2E">
        <w:rPr>
          <w:rFonts w:ascii="Times New Roman" w:hAnsi="Times New Roman" w:cs="Times New Roman"/>
          <w:sz w:val="24"/>
          <w:szCs w:val="24"/>
        </w:rPr>
        <w:t>ting molecular adsorption confi</w:t>
      </w:r>
      <w:r w:rsidRPr="0033777C">
        <w:rPr>
          <w:rFonts w:ascii="Times New Roman" w:hAnsi="Times New Roman" w:cs="Times New Roman"/>
          <w:sz w:val="24"/>
          <w:szCs w:val="24"/>
        </w:rPr>
        <w:t>guration. Here, we investigate the possibility of utilizing non-covalent interactions to tune the macroscale properties of free-standing rGO papers by incorporating small aromatic carboxylic</w:t>
      </w:r>
      <w:bookmarkStart w:id="0" w:name="_GoBack"/>
      <w:bookmarkEnd w:id="0"/>
      <w:r w:rsidRPr="0033777C">
        <w:rPr>
          <w:rFonts w:ascii="Times New Roman" w:hAnsi="Times New Roman" w:cs="Times New Roman"/>
          <w:sz w:val="24"/>
          <w:szCs w:val="24"/>
        </w:rPr>
        <w:t xml:space="preserve"> ac</w:t>
      </w:r>
      <w:r>
        <w:rPr>
          <w:rFonts w:ascii="Times New Roman" w:hAnsi="Times New Roman" w:cs="Times New Roman"/>
          <w:sz w:val="24"/>
          <w:szCs w:val="24"/>
        </w:rPr>
        <w:t>id molecules, terephthalic acid</w:t>
      </w:r>
      <w:r w:rsidRPr="0033777C">
        <w:rPr>
          <w:rFonts w:ascii="Times New Roman" w:hAnsi="Times New Roman" w:cs="Times New Roman"/>
          <w:sz w:val="24"/>
          <w:szCs w:val="24"/>
        </w:rPr>
        <w:t>, directly into the rGO interlayer region. Our results demonstrate the possibility of tuning the bulk mechanical and electrical properties of freestanding conductive rGO papers by simple addition of noncovalently binding molecules to the colloidal suspension.</w:t>
      </w:r>
    </w:p>
    <w:sectPr w:rsidR="0033777C" w:rsidRPr="003377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77C"/>
    <w:rsid w:val="0033777C"/>
    <w:rsid w:val="005C7BEE"/>
    <w:rsid w:val="007C519A"/>
    <w:rsid w:val="00CF5B2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1C1F9"/>
  <w15:chartTrackingRefBased/>
  <w15:docId w15:val="{9CCC25D6-5E27-4319-B4DB-5240E6746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1649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ITU</dc:creator>
  <cp:keywords/>
  <dc:description/>
  <cp:lastModifiedBy>osman eksik</cp:lastModifiedBy>
  <cp:revision>2</cp:revision>
  <dcterms:created xsi:type="dcterms:W3CDTF">2016-07-30T21:09:00Z</dcterms:created>
  <dcterms:modified xsi:type="dcterms:W3CDTF">2016-07-30T21:09:00Z</dcterms:modified>
</cp:coreProperties>
</file>