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F370C7" w14:textId="77777777" w:rsidR="00AE3E37" w:rsidRDefault="0063133E" w:rsidP="00494130">
      <w:pPr>
        <w:pStyle w:val="Heading1"/>
        <w:spacing w:before="170"/>
        <w:ind w:left="0"/>
      </w:pPr>
      <w:r>
        <w:rPr>
          <w:color w:val="337AB7"/>
        </w:rPr>
        <w:t>Laboratory for strategic materials: extraction, processing, and utilization of strategic materials</w:t>
      </w:r>
    </w:p>
    <w:p w14:paraId="293A5D1C" w14:textId="77777777" w:rsidR="00AE3E37" w:rsidRDefault="0063133E" w:rsidP="0063133E">
      <w:pPr>
        <w:pStyle w:val="BodyText"/>
        <w:spacing w:before="73" w:line="198" w:lineRule="exact"/>
        <w:ind w:left="100" w:right="5987"/>
        <w:rPr>
          <w:rFonts w:ascii="Arial"/>
          <w:sz w:val="20"/>
        </w:rPr>
      </w:pPr>
      <w:r>
        <w:rPr>
          <w:rFonts w:ascii="Arial"/>
        </w:rPr>
        <w:t>Gisele Azimi, Assistant Professor, University of Toronto, Canada</w:t>
      </w:r>
    </w:p>
    <w:p w14:paraId="3F12B458" w14:textId="77777777" w:rsidR="00AE3E37" w:rsidRDefault="00AE3E37">
      <w:pPr>
        <w:pStyle w:val="BodyText"/>
        <w:spacing w:before="3"/>
        <w:rPr>
          <w:rFonts w:ascii="Arial"/>
          <w:sz w:val="21"/>
        </w:rPr>
      </w:pPr>
    </w:p>
    <w:p w14:paraId="4B9D5E26"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6F31AAE6"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F762440" w14:textId="264D8616" w:rsidR="00AE3E37" w:rsidRDefault="008A3346">
      <w:pPr>
        <w:pStyle w:val="BodyText"/>
        <w:spacing w:before="90" w:line="280" w:lineRule="auto"/>
        <w:ind w:left="100"/>
        <w:jc w:val="both"/>
      </w:pPr>
      <w:r>
        <w:t xml:space="preserve">Rare earth elements </w:t>
      </w:r>
      <w:r w:rsidR="00843D07">
        <w:t xml:space="preserve">(REEs) </w:t>
      </w:r>
      <w:r>
        <w:t>are classified under strategic materials, i.e., those with high demand and subject to supply risk. These elements offer unique physicochemical properties, thus they are the key component of many critical and emerging green technologies, including magnets for wind turbines and batteries for electric vehicles. Since these technologies are dominat</w:t>
      </w:r>
      <w:r w:rsidR="00843D07">
        <w:t xml:space="preserve">ing the world to meet the GHG </w:t>
      </w:r>
      <w:r w:rsidR="00E84CE8">
        <w:t xml:space="preserve">emission </w:t>
      </w:r>
      <w:r w:rsidR="00843D07">
        <w:t xml:space="preserve">target, the demand for REEs is increasing fast, causing sustainability challenges. The current raw materials for REEs are enough to accommodate several decades of increased demand; however, bringing these sources into the supply chain is challenging. Opening a new mine and building a refinery is challenging and may take 10-15 years. Thus, it is imperative to find new secondary sources for these elements through technospheric and urban mining. Here we present efficient extraction processes based on hydrometallurgy and supercritical fluid extraction to recover REEs from industrial process residues: phosphogypsum and red mud, as well as nickel metal hydride (NiMH) batteries and neodymium iron boron (NdFeB) magnets. Our hydrometallurgical process </w:t>
      </w:r>
      <w:r w:rsidR="00843D07">
        <w:rPr>
          <w:rFonts w:cstheme="minorHAnsi"/>
        </w:rPr>
        <w:t xml:space="preserve">employs a modified version of sulfuric acid leaching and subsequent impurity removal by selective precipitation. Our supercritical fluid extraction process is </w:t>
      </w:r>
      <w:r w:rsidR="00E84CE8">
        <w:rPr>
          <w:rFonts w:cstheme="minorHAnsi"/>
        </w:rPr>
        <w:t xml:space="preserve">robust, as </w:t>
      </w:r>
      <w:r w:rsidR="00D62125">
        <w:rPr>
          <w:rFonts w:cstheme="minorHAnsi"/>
        </w:rPr>
        <w:t>it relies on an inert, safe, and abundant solvent (CO</w:t>
      </w:r>
      <w:r w:rsidR="00D62125" w:rsidRPr="00E84CE8">
        <w:rPr>
          <w:rFonts w:cstheme="minorHAnsi"/>
          <w:vertAlign w:val="subscript"/>
        </w:rPr>
        <w:t>2</w:t>
      </w:r>
      <w:r w:rsidR="00D62125">
        <w:rPr>
          <w:rFonts w:cstheme="minorHAnsi"/>
        </w:rPr>
        <w:t xml:space="preserve">), </w:t>
      </w:r>
      <w:r w:rsidR="000A3741">
        <w:rPr>
          <w:rFonts w:cstheme="minorHAnsi"/>
        </w:rPr>
        <w:t>runs at low temperature</w:t>
      </w:r>
      <w:r w:rsidR="00D62125">
        <w:rPr>
          <w:rFonts w:cstheme="minorHAnsi"/>
        </w:rPr>
        <w:t xml:space="preserve">, and generates minimum waste. In all cases, we obtained more than 90% extraction efficiency for REEs. </w:t>
      </w:r>
      <w:r w:rsidR="000A3741">
        <w:rPr>
          <w:rFonts w:cstheme="minorHAnsi"/>
        </w:rPr>
        <w:t>Another challenge with REEs</w:t>
      </w:r>
      <w:r w:rsidR="00E84CE8">
        <w:rPr>
          <w:rFonts w:cstheme="minorHAnsi"/>
        </w:rPr>
        <w:t xml:space="preserve"> is supply </w:t>
      </w:r>
      <w:r w:rsidR="000A3741">
        <w:rPr>
          <w:rFonts w:cstheme="minorHAnsi"/>
        </w:rPr>
        <w:t>im</w:t>
      </w:r>
      <w:r w:rsidR="00E84CE8">
        <w:rPr>
          <w:rFonts w:cstheme="minorHAnsi"/>
        </w:rPr>
        <w:t xml:space="preserve">balance, i.e., the more critical ones are less abundant, and because they occur together, there is a surplus of less critical ones, such as cerium. In a recent discovery, we showed that </w:t>
      </w:r>
      <w:r w:rsidR="000A3741">
        <w:rPr>
          <w:rFonts w:cstheme="minorHAnsi"/>
        </w:rPr>
        <w:t>robust REE</w:t>
      </w:r>
      <w:r w:rsidR="00E84CE8">
        <w:rPr>
          <w:rFonts w:cstheme="minorHAnsi"/>
        </w:rPr>
        <w:t xml:space="preserve"> oxide ceramic</w:t>
      </w:r>
      <w:r w:rsidR="000A3741">
        <w:rPr>
          <w:rFonts w:cstheme="minorHAnsi"/>
        </w:rPr>
        <w:t>s</w:t>
      </w:r>
      <w:r w:rsidR="00E84CE8">
        <w:rPr>
          <w:rFonts w:cstheme="minorHAnsi"/>
        </w:rPr>
        <w:t xml:space="preserve"> </w:t>
      </w:r>
      <w:r w:rsidR="000A3741">
        <w:rPr>
          <w:rFonts w:cstheme="minorHAnsi"/>
        </w:rPr>
        <w:t>are</w:t>
      </w:r>
      <w:r w:rsidR="00E84CE8">
        <w:rPr>
          <w:rFonts w:cstheme="minorHAnsi"/>
        </w:rPr>
        <w:t xml:space="preserve"> hydrophobic, thus </w:t>
      </w:r>
      <w:r w:rsidR="000A3741">
        <w:rPr>
          <w:rFonts w:cstheme="minorHAnsi"/>
        </w:rPr>
        <w:t>they</w:t>
      </w:r>
      <w:r w:rsidR="00E84CE8">
        <w:rPr>
          <w:rFonts w:cstheme="minorHAnsi"/>
        </w:rPr>
        <w:t xml:space="preserve"> can enhance the efficiency of </w:t>
      </w:r>
      <w:r w:rsidR="000A3741">
        <w:rPr>
          <w:rFonts w:cstheme="minorHAnsi"/>
        </w:rPr>
        <w:t>various industries</w:t>
      </w:r>
      <w:r w:rsidR="00E84CE8">
        <w:rPr>
          <w:rFonts w:cstheme="minorHAnsi"/>
        </w:rPr>
        <w:t xml:space="preserve">. </w:t>
      </w:r>
      <w:r w:rsidR="000A3741">
        <w:rPr>
          <w:rFonts w:cstheme="minorHAnsi"/>
        </w:rPr>
        <w:t>R</w:t>
      </w:r>
      <w:r w:rsidR="00E84CE8">
        <w:rPr>
          <w:rFonts w:cstheme="minorHAnsi"/>
        </w:rPr>
        <w:t xml:space="preserve">esearch in our group is twofold: extraction and processing of REEs from secondary sources, and </w:t>
      </w:r>
      <w:r w:rsidR="000A3741">
        <w:rPr>
          <w:rFonts w:cstheme="minorHAnsi"/>
        </w:rPr>
        <w:t xml:space="preserve">their </w:t>
      </w:r>
      <w:r w:rsidR="00E84CE8">
        <w:rPr>
          <w:rFonts w:cstheme="minorHAnsi"/>
        </w:rPr>
        <w:t xml:space="preserve">utilization </w:t>
      </w:r>
      <w:r w:rsidR="000A3741">
        <w:rPr>
          <w:rFonts w:cstheme="minorHAnsi"/>
        </w:rPr>
        <w:t>to fabricate super-</w:t>
      </w:r>
      <w:r w:rsidR="00E84CE8">
        <w:rPr>
          <w:rFonts w:cstheme="minorHAnsi"/>
        </w:rPr>
        <w:t xml:space="preserve">nonwetting materials </w:t>
      </w:r>
      <w:r w:rsidR="000A3741">
        <w:rPr>
          <w:rFonts w:cstheme="minorHAnsi"/>
        </w:rPr>
        <w:t>with</w:t>
      </w:r>
      <w:r w:rsidR="00E84CE8">
        <w:rPr>
          <w:rFonts w:cstheme="minorHAnsi"/>
        </w:rPr>
        <w:t xml:space="preserve"> </w:t>
      </w:r>
      <w:r w:rsidR="000A3741">
        <w:rPr>
          <w:rFonts w:cstheme="minorHAnsi"/>
        </w:rPr>
        <w:t>far-reaching</w:t>
      </w:r>
      <w:r w:rsidR="00E84CE8">
        <w:rPr>
          <w:rFonts w:cstheme="minorHAnsi"/>
        </w:rPr>
        <w:t xml:space="preserve"> technological impact.  </w:t>
      </w:r>
      <w:r w:rsidR="00843D07">
        <w:t xml:space="preserve">  </w:t>
      </w:r>
    </w:p>
    <w:p w14:paraId="52599E44" w14:textId="77777777" w:rsidR="00AE3E37" w:rsidRDefault="00A9710C">
      <w:pPr>
        <w:pStyle w:val="Heading3"/>
        <w:spacing w:before="74"/>
      </w:pPr>
      <w:r>
        <w:rPr>
          <w:b w:val="0"/>
        </w:rPr>
        <w:br w:type="column"/>
      </w:r>
      <w:r>
        <w:rPr>
          <w:color w:val="BF5A14"/>
        </w:rPr>
        <w:lastRenderedPageBreak/>
        <w:t>Image</w:t>
      </w:r>
    </w:p>
    <w:p w14:paraId="10F40233" w14:textId="43C16D4B" w:rsidR="005973B9" w:rsidRPr="00125347" w:rsidRDefault="00125347" w:rsidP="00125347">
      <w:pPr>
        <w:pStyle w:val="BodyText"/>
        <w:spacing w:before="2"/>
        <w:rPr>
          <w:rFonts w:ascii="Arial"/>
          <w:b/>
          <w:sz w:val="16"/>
        </w:rPr>
      </w:pPr>
      <w:r w:rsidRPr="00125347">
        <w:rPr>
          <w:rFonts w:ascii="Arial"/>
          <w:b/>
          <w:sz w:val="16"/>
        </w:rPr>
        <w:drawing>
          <wp:inline distT="0" distB="0" distL="0" distR="0" wp14:anchorId="774E3B9A" wp14:editId="665613E3">
            <wp:extent cx="3165475" cy="2417469"/>
            <wp:effectExtent l="0" t="0" r="9525"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2417469"/>
                    </a:xfrm>
                    <a:prstGeom prst="rect">
                      <a:avLst/>
                    </a:prstGeom>
                    <a:noFill/>
                    <a:ln>
                      <a:noFill/>
                    </a:ln>
                  </pic:spPr>
                </pic:pic>
              </a:graphicData>
            </a:graphic>
          </wp:inline>
        </w:drawing>
      </w:r>
      <w:bookmarkStart w:id="0" w:name="_GoBack"/>
      <w:bookmarkEnd w:id="0"/>
      <w:r w:rsidR="005973B9">
        <w:rPr>
          <w:rFonts w:ascii="Arial"/>
          <w:b/>
          <w:color w:val="BF5A14"/>
          <w:sz w:val="20"/>
        </w:rPr>
        <w:br/>
        <w:t>Recent Publications (minimum 5)</w:t>
      </w:r>
    </w:p>
    <w:p w14:paraId="4AEF88B0" w14:textId="5507FA35" w:rsidR="00307977" w:rsidRPr="00307977" w:rsidRDefault="00307977" w:rsidP="00307977">
      <w:pPr>
        <w:pStyle w:val="ListParagraph"/>
        <w:numPr>
          <w:ilvl w:val="0"/>
          <w:numId w:val="3"/>
        </w:numPr>
        <w:tabs>
          <w:tab w:val="left" w:pos="384"/>
        </w:tabs>
        <w:spacing w:before="103" w:line="216" w:lineRule="exact"/>
        <w:ind w:right="138" w:hanging="283"/>
        <w:rPr>
          <w:sz w:val="18"/>
        </w:rPr>
      </w:pPr>
      <w:r>
        <w:rPr>
          <w:sz w:val="18"/>
        </w:rPr>
        <w:t>Reid, S., Tam, J., Yang, M.</w:t>
      </w:r>
      <w:r w:rsidRPr="00307977">
        <w:rPr>
          <w:sz w:val="18"/>
        </w:rPr>
        <w:t>, Azimi, G.</w:t>
      </w:r>
      <w:r>
        <w:rPr>
          <w:sz w:val="18"/>
        </w:rPr>
        <w:t xml:space="preserve"> (2017) </w:t>
      </w:r>
      <w:r w:rsidRPr="00307977">
        <w:rPr>
          <w:sz w:val="18"/>
        </w:rPr>
        <w:t>Technospheric mining of rare earth elements from bauxite residue (red mud): process optimization, kinetic investigati</w:t>
      </w:r>
      <w:r>
        <w:rPr>
          <w:sz w:val="18"/>
        </w:rPr>
        <w:t xml:space="preserve">on, and microwave pretreatment. </w:t>
      </w:r>
      <w:r w:rsidRPr="00307977">
        <w:rPr>
          <w:sz w:val="18"/>
        </w:rPr>
        <w:t xml:space="preserve"> </w:t>
      </w:r>
      <w:r>
        <w:rPr>
          <w:sz w:val="18"/>
        </w:rPr>
        <w:t>S</w:t>
      </w:r>
      <w:r w:rsidRPr="00307977">
        <w:rPr>
          <w:sz w:val="18"/>
        </w:rPr>
        <w:t>cientific Reports, 7, 15252, 1-9.</w:t>
      </w:r>
    </w:p>
    <w:p w14:paraId="625B939D" w14:textId="25F56120" w:rsidR="00307977" w:rsidRPr="00307977" w:rsidRDefault="00307977" w:rsidP="00307977">
      <w:pPr>
        <w:pStyle w:val="ListParagraph"/>
        <w:numPr>
          <w:ilvl w:val="0"/>
          <w:numId w:val="3"/>
        </w:numPr>
        <w:tabs>
          <w:tab w:val="left" w:pos="384"/>
        </w:tabs>
        <w:spacing w:before="103" w:line="216" w:lineRule="exact"/>
        <w:ind w:right="138" w:hanging="283"/>
        <w:rPr>
          <w:sz w:val="18"/>
        </w:rPr>
      </w:pPr>
      <w:r>
        <w:rPr>
          <w:sz w:val="18"/>
        </w:rPr>
        <w:t>Tam, J.</w:t>
      </w:r>
      <w:r w:rsidRPr="00307977">
        <w:rPr>
          <w:sz w:val="18"/>
        </w:rPr>
        <w:t xml:space="preserve">, Palumbo, G., </w:t>
      </w:r>
      <w:proofErr w:type="spellStart"/>
      <w:r w:rsidRPr="00307977">
        <w:rPr>
          <w:sz w:val="18"/>
        </w:rPr>
        <w:t>Erb</w:t>
      </w:r>
      <w:proofErr w:type="spellEnd"/>
      <w:r w:rsidRPr="00307977">
        <w:rPr>
          <w:sz w:val="18"/>
        </w:rPr>
        <w:t>, U., Azimi, G.</w:t>
      </w:r>
      <w:r>
        <w:rPr>
          <w:sz w:val="18"/>
        </w:rPr>
        <w:t xml:space="preserve"> </w:t>
      </w:r>
      <w:r w:rsidRPr="00307977">
        <w:rPr>
          <w:sz w:val="18"/>
        </w:rPr>
        <w:t>(2017)</w:t>
      </w:r>
      <w:r>
        <w:rPr>
          <w:sz w:val="18"/>
        </w:rPr>
        <w:t xml:space="preserve"> </w:t>
      </w:r>
      <w:r w:rsidRPr="00307977">
        <w:rPr>
          <w:sz w:val="18"/>
        </w:rPr>
        <w:t>Robust, hydrophobic nickel-cerium oxide metal matrix composite electrodeposits,” Adv</w:t>
      </w:r>
      <w:r>
        <w:rPr>
          <w:sz w:val="18"/>
        </w:rPr>
        <w:t>.</w:t>
      </w:r>
      <w:r w:rsidRPr="00307977">
        <w:rPr>
          <w:sz w:val="18"/>
        </w:rPr>
        <w:t xml:space="preserve"> Mater</w:t>
      </w:r>
      <w:r>
        <w:rPr>
          <w:sz w:val="18"/>
        </w:rPr>
        <w:t xml:space="preserve">. </w:t>
      </w:r>
      <w:proofErr w:type="spellStart"/>
      <w:r>
        <w:rPr>
          <w:sz w:val="18"/>
        </w:rPr>
        <w:t>Interf</w:t>
      </w:r>
      <w:proofErr w:type="spellEnd"/>
      <w:r>
        <w:rPr>
          <w:sz w:val="18"/>
        </w:rPr>
        <w:t>.</w:t>
      </w:r>
      <w:r w:rsidRPr="00307977">
        <w:rPr>
          <w:sz w:val="18"/>
        </w:rPr>
        <w:t xml:space="preserve"> 1700850. </w:t>
      </w:r>
    </w:p>
    <w:p w14:paraId="6E3AD968" w14:textId="56B02FE1" w:rsidR="00307977" w:rsidRPr="00307977" w:rsidRDefault="00307977" w:rsidP="00307977">
      <w:pPr>
        <w:pStyle w:val="ListParagraph"/>
        <w:numPr>
          <w:ilvl w:val="0"/>
          <w:numId w:val="3"/>
        </w:numPr>
        <w:tabs>
          <w:tab w:val="left" w:pos="384"/>
        </w:tabs>
        <w:spacing w:before="103" w:line="216" w:lineRule="exact"/>
        <w:ind w:right="138" w:hanging="283"/>
        <w:rPr>
          <w:sz w:val="18"/>
        </w:rPr>
      </w:pPr>
      <w:proofErr w:type="spellStart"/>
      <w:r>
        <w:rPr>
          <w:sz w:val="18"/>
        </w:rPr>
        <w:t>Ang</w:t>
      </w:r>
      <w:proofErr w:type="spellEnd"/>
      <w:r>
        <w:rPr>
          <w:sz w:val="18"/>
        </w:rPr>
        <w:t>, C.A., Zhang, F.</w:t>
      </w:r>
      <w:r w:rsidRPr="00307977">
        <w:rPr>
          <w:sz w:val="18"/>
        </w:rPr>
        <w:t>, Azimi, G.</w:t>
      </w:r>
      <w:r>
        <w:rPr>
          <w:sz w:val="18"/>
        </w:rPr>
        <w:t xml:space="preserve"> (2017). </w:t>
      </w:r>
      <w:r w:rsidRPr="00307977">
        <w:rPr>
          <w:sz w:val="18"/>
        </w:rPr>
        <w:t>Waste valorization process: sulfur removal and hematite recovery from high pressure acid</w:t>
      </w:r>
      <w:r>
        <w:rPr>
          <w:sz w:val="18"/>
        </w:rPr>
        <w:t xml:space="preserve"> leach residue for steelmaking,</w:t>
      </w:r>
      <w:r w:rsidRPr="00307977">
        <w:rPr>
          <w:sz w:val="18"/>
        </w:rPr>
        <w:t xml:space="preserve"> ACS Sustainable Chemistry and Engineering 5, 8416-8423.</w:t>
      </w:r>
    </w:p>
    <w:p w14:paraId="62B34FC8" w14:textId="2C8E56FE" w:rsidR="00307977" w:rsidRPr="00307977" w:rsidRDefault="00307977" w:rsidP="00307977">
      <w:pPr>
        <w:pStyle w:val="ListParagraph"/>
        <w:numPr>
          <w:ilvl w:val="0"/>
          <w:numId w:val="3"/>
        </w:numPr>
        <w:tabs>
          <w:tab w:val="left" w:pos="384"/>
        </w:tabs>
        <w:spacing w:before="103" w:line="216" w:lineRule="exact"/>
        <w:ind w:right="138" w:hanging="283"/>
        <w:rPr>
          <w:sz w:val="18"/>
        </w:rPr>
      </w:pPr>
      <w:r>
        <w:rPr>
          <w:sz w:val="18"/>
        </w:rPr>
        <w:t>Judge, W.D.</w:t>
      </w:r>
      <w:r w:rsidRPr="00307977">
        <w:rPr>
          <w:sz w:val="18"/>
        </w:rPr>
        <w:t>, Azimi, G.</w:t>
      </w:r>
      <w:r>
        <w:rPr>
          <w:sz w:val="18"/>
        </w:rPr>
        <w:t xml:space="preserve"> (2017) </w:t>
      </w:r>
      <w:r w:rsidRPr="00307977">
        <w:rPr>
          <w:sz w:val="18"/>
        </w:rPr>
        <w:t>Thermodynamic Investigation of the Reduction-Distillation Process for Rare Earth Metals Production,” JOM 69, 1987-1991.</w:t>
      </w:r>
    </w:p>
    <w:p w14:paraId="1408A62B" w14:textId="3444F981" w:rsidR="00307977" w:rsidRPr="00307977" w:rsidRDefault="00307977" w:rsidP="00307977">
      <w:pPr>
        <w:pStyle w:val="ListParagraph"/>
        <w:numPr>
          <w:ilvl w:val="0"/>
          <w:numId w:val="3"/>
        </w:numPr>
        <w:tabs>
          <w:tab w:val="left" w:pos="384"/>
        </w:tabs>
        <w:spacing w:before="103" w:line="216" w:lineRule="exact"/>
        <w:ind w:right="138" w:hanging="283"/>
        <w:rPr>
          <w:sz w:val="18"/>
        </w:rPr>
      </w:pPr>
      <w:r>
        <w:rPr>
          <w:sz w:val="18"/>
        </w:rPr>
        <w:t>Judge, W.D.</w:t>
      </w:r>
      <w:r w:rsidRPr="00307977">
        <w:rPr>
          <w:sz w:val="18"/>
        </w:rPr>
        <w:t xml:space="preserve">, </w:t>
      </w:r>
      <w:proofErr w:type="spellStart"/>
      <w:r w:rsidRPr="00307977">
        <w:rPr>
          <w:sz w:val="18"/>
        </w:rPr>
        <w:t>Allanore</w:t>
      </w:r>
      <w:proofErr w:type="spellEnd"/>
      <w:r w:rsidRPr="00307977">
        <w:rPr>
          <w:sz w:val="18"/>
        </w:rPr>
        <w:t>, A., Sadoway, D.R., Azimi, G.</w:t>
      </w:r>
      <w:r>
        <w:rPr>
          <w:sz w:val="18"/>
        </w:rPr>
        <w:t xml:space="preserve"> (2017). </w:t>
      </w:r>
      <w:r w:rsidRPr="00307977">
        <w:rPr>
          <w:sz w:val="18"/>
        </w:rPr>
        <w:t xml:space="preserve">E-logpO2 diagrams for </w:t>
      </w:r>
      <w:proofErr w:type="spellStart"/>
      <w:r w:rsidRPr="00307977">
        <w:rPr>
          <w:sz w:val="18"/>
        </w:rPr>
        <w:t>ironmaking</w:t>
      </w:r>
      <w:proofErr w:type="spellEnd"/>
      <w:r w:rsidRPr="00307977">
        <w:rPr>
          <w:sz w:val="18"/>
        </w:rPr>
        <w:t xml:space="preserve"> by molten oxide electrolysis,” </w:t>
      </w:r>
      <w:proofErr w:type="spellStart"/>
      <w:r w:rsidRPr="00307977">
        <w:rPr>
          <w:sz w:val="18"/>
        </w:rPr>
        <w:t>Electrochemica</w:t>
      </w:r>
      <w:proofErr w:type="spellEnd"/>
      <w:r w:rsidRPr="00307977">
        <w:rPr>
          <w:sz w:val="18"/>
        </w:rPr>
        <w:t xml:space="preserve"> </w:t>
      </w:r>
      <w:proofErr w:type="spellStart"/>
      <w:r w:rsidRPr="00307977">
        <w:rPr>
          <w:sz w:val="18"/>
        </w:rPr>
        <w:t>Acta</w:t>
      </w:r>
      <w:proofErr w:type="spellEnd"/>
      <w:r w:rsidRPr="00307977">
        <w:rPr>
          <w:sz w:val="18"/>
        </w:rPr>
        <w:t xml:space="preserve"> 247, 1088–1094.</w:t>
      </w:r>
    </w:p>
    <w:p w14:paraId="4A370FE2" w14:textId="60E3CF7B" w:rsidR="00AE3E37" w:rsidRPr="00864E62" w:rsidRDefault="00864E62" w:rsidP="00864E62">
      <w:pPr>
        <w:pStyle w:val="ListParagraph"/>
        <w:numPr>
          <w:ilvl w:val="0"/>
          <w:numId w:val="3"/>
        </w:numPr>
        <w:tabs>
          <w:tab w:val="left" w:pos="384"/>
        </w:tabs>
        <w:spacing w:before="103" w:line="216" w:lineRule="exact"/>
        <w:ind w:right="138" w:hanging="283"/>
        <w:rPr>
          <w:sz w:val="18"/>
        </w:rPr>
      </w:pPr>
      <w:r w:rsidRPr="00864E62">
        <w:rPr>
          <w:sz w:val="18"/>
        </w:rPr>
        <w:t>Azimi, G., Dhiman, R., Kwon, H.M., Paxson, A.T., Varanasi, K.K.</w:t>
      </w:r>
      <w:r>
        <w:rPr>
          <w:sz w:val="18"/>
        </w:rPr>
        <w:t xml:space="preserve"> (2013). </w:t>
      </w:r>
      <w:r w:rsidRPr="00864E62">
        <w:rPr>
          <w:sz w:val="18"/>
        </w:rPr>
        <w:t>Hydrophobicit</w:t>
      </w:r>
      <w:r>
        <w:rPr>
          <w:sz w:val="18"/>
        </w:rPr>
        <w:t>y of rare-earth oxide ceramics,</w:t>
      </w:r>
      <w:r w:rsidRPr="00864E62">
        <w:rPr>
          <w:sz w:val="18"/>
        </w:rPr>
        <w:t xml:space="preserve"> Nature Materials, </w:t>
      </w:r>
      <w:r>
        <w:rPr>
          <w:sz w:val="18"/>
        </w:rPr>
        <w:t>12, 315–320</w:t>
      </w:r>
      <w:r w:rsidRPr="00864E62">
        <w:rPr>
          <w:sz w:val="18"/>
        </w:rPr>
        <w:t>.</w:t>
      </w:r>
    </w:p>
    <w:p w14:paraId="3D69352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652723B" w14:textId="77777777" w:rsidR="00AE3E37" w:rsidRDefault="00292ED9">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14:anchorId="62E6854B" wp14:editId="40947D1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3F4F5E3" w14:textId="77777777" w:rsidR="00AE3E37" w:rsidRDefault="008756E6" w:rsidP="00404E5B">
      <w:pPr>
        <w:spacing w:before="92"/>
        <w:ind w:right="4234"/>
        <w:rPr>
          <w:rFonts w:ascii="Arial"/>
        </w:rPr>
      </w:pPr>
      <w:r>
        <w:rPr>
          <w:noProof/>
        </w:rPr>
        <w:t xml:space="preserve">              </w:t>
      </w:r>
      <w:r w:rsidR="0063133E">
        <w:rPr>
          <w:rFonts w:ascii="Helvetica" w:eastAsiaTheme="minorHAnsi" w:hAnsi="Helvetica" w:cs="Helvetica"/>
          <w:noProof/>
          <w:sz w:val="24"/>
          <w:szCs w:val="24"/>
        </w:rPr>
        <w:drawing>
          <wp:inline distT="0" distB="0" distL="0" distR="0" wp14:anchorId="1B8EC175" wp14:editId="4D6C0324">
            <wp:extent cx="610854" cy="71450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361" cy="715096"/>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0789BEA4" w14:textId="77777777" w:rsidR="0063133E" w:rsidRDefault="0063133E">
      <w:pPr>
        <w:spacing w:before="41" w:line="154" w:lineRule="exact"/>
        <w:ind w:left="213" w:right="231"/>
        <w:jc w:val="both"/>
        <w:rPr>
          <w:rFonts w:ascii="Arial"/>
          <w:sz w:val="14"/>
        </w:rPr>
      </w:pPr>
      <w:r w:rsidRPr="0063133E">
        <w:rPr>
          <w:rFonts w:ascii="Arial"/>
          <w:sz w:val="14"/>
        </w:rPr>
        <w:t xml:space="preserve">Gisele Azimi is an Assistant Professor </w:t>
      </w:r>
      <w:proofErr w:type="gramStart"/>
      <w:r w:rsidRPr="0063133E">
        <w:rPr>
          <w:rFonts w:ascii="Arial"/>
          <w:sz w:val="14"/>
        </w:rPr>
        <w:t>cross-appointed</w:t>
      </w:r>
      <w:proofErr w:type="gramEnd"/>
      <w:r w:rsidRPr="0063133E">
        <w:rPr>
          <w:rFonts w:ascii="Arial"/>
          <w:sz w:val="14"/>
        </w:rPr>
        <w:t xml:space="preserve"> between the Departments of Chemical Engineering &amp; Applied Chemistry and Materials Science &amp; Engineering at the University of Toronto. She is an expert in the fields of materials extraction, processing, and recovery using hydrometallurgical, electrochemical, and supercritical processes. Her research program is mainly focused on the extraction and recovery of strategic materials, mainly rare earth elements, precious metals, lithium, and iron. This includes molten salt electrolysis and supercritical fluid extraction of rare earth elements as well as recovery of these elements from secondary sources. Another thrust of her research program is focused on the design and fabrication of advanced materials and surfaces with controlled properties. She has received a number of awards including TMS Light Metals/Extraction &amp; Processing Subject Award, CIM Gordon </w:t>
      </w:r>
      <w:proofErr w:type="spellStart"/>
      <w:r w:rsidRPr="0063133E">
        <w:rPr>
          <w:rFonts w:ascii="Arial"/>
          <w:sz w:val="14"/>
        </w:rPr>
        <w:t>Ritcey</w:t>
      </w:r>
      <w:proofErr w:type="spellEnd"/>
      <w:r w:rsidRPr="0063133E">
        <w:rPr>
          <w:rFonts w:ascii="Arial"/>
          <w:sz w:val="14"/>
        </w:rPr>
        <w:t xml:space="preserve"> Outstanding Award, and TATP teaching excellence award.</w:t>
      </w:r>
    </w:p>
    <w:p w14:paraId="4A633D65" w14:textId="77777777" w:rsidR="00AE3E37" w:rsidRDefault="00A9710C">
      <w:pPr>
        <w:spacing w:before="62"/>
        <w:ind w:left="4217" w:right="4235"/>
        <w:jc w:val="center"/>
        <w:rPr>
          <w:rFonts w:ascii="Arial"/>
          <w:sz w:val="14"/>
        </w:rPr>
      </w:pPr>
      <w:r>
        <w:rPr>
          <w:rFonts w:ascii="Arial"/>
          <w:sz w:val="14"/>
        </w:rPr>
        <w:t xml:space="preserve">Email: </w:t>
      </w:r>
      <w:hyperlink r:id="rId12" w:history="1">
        <w:r w:rsidR="0063133E">
          <w:rPr>
            <w:rStyle w:val="Hyperlink"/>
            <w:rFonts w:ascii="Arial"/>
            <w:sz w:val="14"/>
          </w:rPr>
          <w:t>g.azimi@utoronto.ca</w:t>
        </w:r>
      </w:hyperlink>
    </w:p>
    <w:p w14:paraId="5C371EC9"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7FE2CCD" wp14:editId="6D09B1F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9A4EFB8" w14:textId="77777777" w:rsidR="00AE3E37" w:rsidRDefault="00AE3E37">
      <w:pPr>
        <w:pStyle w:val="BodyText"/>
        <w:rPr>
          <w:rFonts w:ascii="Arial"/>
          <w:sz w:val="20"/>
        </w:rPr>
      </w:pPr>
    </w:p>
    <w:p w14:paraId="578D327F" w14:textId="77777777" w:rsidR="00AE3E37" w:rsidRDefault="00AE3E37">
      <w:pPr>
        <w:pStyle w:val="BodyText"/>
        <w:rPr>
          <w:rFonts w:ascii="Arial"/>
          <w:sz w:val="20"/>
        </w:rPr>
      </w:pPr>
    </w:p>
    <w:p w14:paraId="5ED70501" w14:textId="77777777" w:rsidR="00AE3E37" w:rsidRDefault="00AE3E37">
      <w:pPr>
        <w:pStyle w:val="BodyText"/>
        <w:spacing w:before="7"/>
        <w:rPr>
          <w:rFonts w:ascii="Arial"/>
          <w:sz w:val="29"/>
        </w:rPr>
      </w:pPr>
    </w:p>
    <w:p w14:paraId="79E7F384" w14:textId="77777777" w:rsidR="00AE3E37" w:rsidRPr="00B21A57" w:rsidRDefault="00A9710C">
      <w:pPr>
        <w:spacing w:before="39"/>
        <w:ind w:left="100"/>
        <w:rPr>
          <w:rFonts w:ascii="Minion Pro"/>
          <w:b/>
          <w:sz w:val="20"/>
        </w:rPr>
      </w:pPr>
      <w:r w:rsidRPr="00B21A57">
        <w:rPr>
          <w:rFonts w:ascii="Minion Pro"/>
          <w:b/>
          <w:sz w:val="20"/>
        </w:rPr>
        <w:t>Notes/Comments:</w:t>
      </w:r>
    </w:p>
    <w:p w14:paraId="52760E5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610A4A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29041C" w14:textId="77777777" w:rsidR="00E84CE8" w:rsidRDefault="00E84CE8">
      <w:r>
        <w:separator/>
      </w:r>
    </w:p>
  </w:endnote>
  <w:endnote w:type="continuationSeparator" w:id="0">
    <w:p w14:paraId="0B44146E" w14:textId="77777777" w:rsidR="00E84CE8" w:rsidRDefault="00E84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00002A87" w:usb1="80000000" w:usb2="00000008"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C94DD2" w14:textId="77777777" w:rsidR="00E84CE8" w:rsidRDefault="00E84CE8">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C0F2871" wp14:editId="0C8F40E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BAD69" w14:textId="77777777" w:rsidR="00E84CE8" w:rsidRPr="005B3A56" w:rsidRDefault="00E84CE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8B88AB6" w14:textId="77777777" w:rsidR="00E84CE8" w:rsidRPr="005B3A56" w:rsidRDefault="00E84CE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797BAD69" w14:textId="77777777" w:rsidR="00E84CE8" w:rsidRPr="005B3A56" w:rsidRDefault="00E84CE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8B88AB6" w14:textId="77777777" w:rsidR="00E84CE8" w:rsidRPr="005B3A56" w:rsidRDefault="00E84CE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EBAC80B" wp14:editId="0E99492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FA827" w14:textId="77777777" w:rsidR="00E84CE8" w:rsidRPr="005B3A56" w:rsidRDefault="00E84CE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C29B6F" w14:textId="77777777" w:rsidR="00E84CE8" w:rsidRPr="005B3A56" w:rsidRDefault="00E84CE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045FA827" w14:textId="77777777" w:rsidR="00E84CE8" w:rsidRPr="005B3A56" w:rsidRDefault="00E84CE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C29B6F" w14:textId="77777777" w:rsidR="00E84CE8" w:rsidRPr="005B3A56" w:rsidRDefault="00E84CE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99934DE" wp14:editId="758DE33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14F0E" w14:textId="77777777" w:rsidR="00E84CE8" w:rsidRPr="005B3A56" w:rsidRDefault="00E84CE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5529AEA" w14:textId="77777777" w:rsidR="00E84CE8" w:rsidRPr="005B3A56" w:rsidRDefault="00E84CE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47514F0E" w14:textId="77777777" w:rsidR="00E84CE8" w:rsidRPr="005B3A56" w:rsidRDefault="00E84CE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5529AEA" w14:textId="77777777" w:rsidR="00E84CE8" w:rsidRPr="005B3A56" w:rsidRDefault="00E84CE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FDA741" w14:textId="77777777" w:rsidR="00E84CE8" w:rsidRDefault="00E84CE8">
      <w:r>
        <w:separator/>
      </w:r>
    </w:p>
  </w:footnote>
  <w:footnote w:type="continuationSeparator" w:id="0">
    <w:p w14:paraId="0AA9ED72" w14:textId="77777777" w:rsidR="00E84CE8" w:rsidRDefault="00E84CE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DAD67F" w14:textId="77777777" w:rsidR="00E84CE8" w:rsidRDefault="00E84CE8">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EF85B28" wp14:editId="58CDF32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39D02" w14:textId="77777777" w:rsidR="00E84CE8" w:rsidRPr="005B3A56" w:rsidRDefault="00E84CE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5F539D02" w14:textId="77777777" w:rsidR="00E84CE8" w:rsidRPr="005B3A56" w:rsidRDefault="00E84CE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FF544E0" wp14:editId="2F604A4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02B5C" w14:textId="77777777" w:rsidR="00E84CE8" w:rsidRPr="005B3A56" w:rsidRDefault="00E84CE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AC3AC5" w14:textId="77777777" w:rsidR="00E84CE8" w:rsidRPr="005B3A56" w:rsidRDefault="00E84CE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1DA02B5C" w14:textId="77777777" w:rsidR="00E84CE8" w:rsidRPr="005B3A56" w:rsidRDefault="00E84CE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AC3AC5" w14:textId="77777777" w:rsidR="00E84CE8" w:rsidRPr="005B3A56" w:rsidRDefault="00E84CE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2C80F9F"/>
    <w:multiLevelType w:val="hybridMultilevel"/>
    <w:tmpl w:val="D02EF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3741"/>
    <w:rsid w:val="000E2911"/>
    <w:rsid w:val="00125347"/>
    <w:rsid w:val="001263DF"/>
    <w:rsid w:val="00292ED9"/>
    <w:rsid w:val="00307977"/>
    <w:rsid w:val="00404E5B"/>
    <w:rsid w:val="00414F7B"/>
    <w:rsid w:val="004355DC"/>
    <w:rsid w:val="004749B4"/>
    <w:rsid w:val="00494130"/>
    <w:rsid w:val="004F3523"/>
    <w:rsid w:val="005973B9"/>
    <w:rsid w:val="005B3A56"/>
    <w:rsid w:val="006060CE"/>
    <w:rsid w:val="0063133E"/>
    <w:rsid w:val="0063497F"/>
    <w:rsid w:val="008439F0"/>
    <w:rsid w:val="00843D07"/>
    <w:rsid w:val="00864E62"/>
    <w:rsid w:val="00873DF0"/>
    <w:rsid w:val="008756E6"/>
    <w:rsid w:val="008A3346"/>
    <w:rsid w:val="009B2D44"/>
    <w:rsid w:val="00A07E82"/>
    <w:rsid w:val="00A9710C"/>
    <w:rsid w:val="00AE3E37"/>
    <w:rsid w:val="00AF1B2D"/>
    <w:rsid w:val="00B21A57"/>
    <w:rsid w:val="00C33602"/>
    <w:rsid w:val="00C62F36"/>
    <w:rsid w:val="00CD6F55"/>
    <w:rsid w:val="00D62125"/>
    <w:rsid w:val="00DE3104"/>
    <w:rsid w:val="00E84CE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754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72"/>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72"/>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665</Words>
  <Characters>3797</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Gisele</cp:lastModifiedBy>
  <cp:revision>8</cp:revision>
  <dcterms:created xsi:type="dcterms:W3CDTF">2017-11-15T22:31:00Z</dcterms:created>
  <dcterms:modified xsi:type="dcterms:W3CDTF">2017-11-15T23:50:00Z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