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5CFBE62" w14:textId="3EDA0412" w:rsidR="00895EE7" w:rsidRPr="00895EE7" w:rsidRDefault="00895EE7" w:rsidP="00895EE7">
      <w:pPr>
        <w:pStyle w:val="Heading1"/>
        <w:spacing w:before="480" w:after="240"/>
        <w:jc w:val="center"/>
        <w:rPr>
          <w:rFonts w:ascii="Times New Roman" w:hAnsi="Times New Roman" w:cs="Times New Roman"/>
          <w:b/>
          <w:color w:val="auto"/>
          <w:sz w:val="34"/>
          <w:szCs w:val="34"/>
          <w:u w:val="single"/>
          <w:lang w:val="en-US"/>
        </w:rPr>
      </w:pPr>
      <w:r w:rsidRPr="00895EE7">
        <w:rPr>
          <w:rFonts w:ascii="Times New Roman" w:hAnsi="Times New Roman" w:cs="Times New Roman"/>
          <w:b/>
          <w:color w:val="auto"/>
          <w:sz w:val="34"/>
          <w:szCs w:val="34"/>
          <w:u w:val="single"/>
          <w:lang w:val="en-US"/>
        </w:rPr>
        <w:t>Enhancing CsPbIBr2 films through solvent engineering</w:t>
      </w:r>
    </w:p>
    <w:p w14:paraId="51C38DE4" w14:textId="3D54B5D0" w:rsidR="00802A85" w:rsidRDefault="00895EE7" w:rsidP="00003A5C">
      <w:pPr>
        <w:pStyle w:val="Heading1"/>
        <w:spacing w:before="480" w:after="240"/>
        <w:rPr>
          <w:rFonts w:ascii="Times New Roman" w:hAnsi="Times New Roman" w:cs="Times New Roman"/>
          <w:b/>
          <w:color w:val="auto"/>
          <w:sz w:val="28"/>
          <w:szCs w:val="28"/>
          <w:lang w:val="en-US"/>
        </w:rPr>
      </w:pPr>
      <w:r>
        <w:rPr>
          <w:rFonts w:ascii="Times New Roman" w:hAnsi="Times New Roman" w:cs="Times New Roman"/>
          <w:b/>
          <w:color w:val="auto"/>
          <w:sz w:val="28"/>
          <w:szCs w:val="28"/>
          <w:lang w:val="en-US"/>
        </w:rPr>
        <w:t>Abstract</w:t>
      </w:r>
    </w:p>
    <w:p w14:paraId="3B7BC66F" w14:textId="536EE496" w:rsidR="00B239C9" w:rsidRPr="00895EE7" w:rsidRDefault="00057C15" w:rsidP="009B6B0C">
      <w:pPr>
        <w:spacing w:after="100" w:afterAutospacing="1"/>
        <w:ind w:firstLine="567"/>
        <w:jc w:val="both"/>
        <w:rPr>
          <w:sz w:val="24"/>
          <w:lang w:val="en-US"/>
        </w:rPr>
      </w:pPr>
      <w:r>
        <w:rPr>
          <w:sz w:val="24"/>
          <w:lang w:val="en-US"/>
        </w:rPr>
        <w:t>The</w:t>
      </w:r>
      <w:r w:rsidR="005D3FEA">
        <w:rPr>
          <w:sz w:val="24"/>
          <w:lang w:val="en-US"/>
        </w:rPr>
        <w:t xml:space="preserve"> power conversion efficiencies of perovskite solar cells have </w:t>
      </w:r>
      <w:r w:rsidR="00895EE7">
        <w:rPr>
          <w:sz w:val="24"/>
          <w:lang w:val="en-US"/>
        </w:rPr>
        <w:t xml:space="preserve">more than </w:t>
      </w:r>
      <w:r w:rsidR="005D3FEA">
        <w:rPr>
          <w:sz w:val="24"/>
          <w:lang w:val="en-US"/>
        </w:rPr>
        <w:t>proved themselves over the past decade</w:t>
      </w:r>
      <w:r w:rsidR="00895EE7">
        <w:rPr>
          <w:sz w:val="24"/>
          <w:lang w:val="en-US"/>
        </w:rPr>
        <w:t xml:space="preserve"> leading to an increasing focus on the</w:t>
      </w:r>
      <w:r w:rsidR="005D3FEA">
        <w:rPr>
          <w:sz w:val="24"/>
          <w:lang w:val="en-US"/>
        </w:rPr>
        <w:t xml:space="preserve"> stability of these materials. </w:t>
      </w:r>
      <w:r w:rsidR="009B6B0C">
        <w:rPr>
          <w:sz w:val="24"/>
          <w:lang w:val="en-US"/>
        </w:rPr>
        <w:t>My work aims to achieve this goal by optimizing the one-step spin coating procedure. This will be done through solvent engineering techniques, namely the development of a</w:t>
      </w:r>
      <w:r w:rsidR="009B03BE">
        <w:rPr>
          <w:sz w:val="24"/>
          <w:lang w:val="en-US"/>
        </w:rPr>
        <w:t>n</w:t>
      </w:r>
      <w:r w:rsidR="009B6B0C">
        <w:rPr>
          <w:sz w:val="24"/>
          <w:lang w:val="en-US"/>
        </w:rPr>
        <w:t xml:space="preserve"> antisolvent quenching method, which is the first of its kind for this material, and the optimization of the precursor solution. My</w:t>
      </w:r>
      <w:r w:rsidR="00D05BB7">
        <w:rPr>
          <w:sz w:val="24"/>
          <w:lang w:val="en-US"/>
        </w:rPr>
        <w:t xml:space="preserve"> results show that the application of isopropanol 10 seconds after the spin program has commenced lead</w:t>
      </w:r>
      <w:r w:rsidR="006C0796">
        <w:rPr>
          <w:sz w:val="24"/>
          <w:lang w:val="en-US"/>
        </w:rPr>
        <w:t>s</w:t>
      </w:r>
      <w:r w:rsidR="00D05BB7">
        <w:rPr>
          <w:sz w:val="24"/>
          <w:lang w:val="en-US"/>
        </w:rPr>
        <w:t xml:space="preserve"> to an important increase in the </w:t>
      </w:r>
      <w:r w:rsidR="00D8072E">
        <w:rPr>
          <w:sz w:val="24"/>
          <w:lang w:val="en-US"/>
        </w:rPr>
        <w:t xml:space="preserve">stability, </w:t>
      </w:r>
      <w:r w:rsidR="00FF3483">
        <w:rPr>
          <w:sz w:val="24"/>
          <w:lang w:val="en-US"/>
        </w:rPr>
        <w:t>crystallinity,</w:t>
      </w:r>
      <w:r w:rsidR="00D8072E">
        <w:rPr>
          <w:sz w:val="24"/>
          <w:lang w:val="en-US"/>
        </w:rPr>
        <w:t xml:space="preserve"> and morphology of the</w:t>
      </w:r>
      <w:r w:rsidR="006C0796">
        <w:rPr>
          <w:sz w:val="24"/>
          <w:lang w:val="en-US"/>
        </w:rPr>
        <w:t xml:space="preserve"> CsPbIBr</w:t>
      </w:r>
      <w:r w:rsidR="006C0796" w:rsidRPr="006C0796">
        <w:rPr>
          <w:sz w:val="24"/>
          <w:vertAlign w:val="subscript"/>
          <w:lang w:val="en-US"/>
        </w:rPr>
        <w:t>2</w:t>
      </w:r>
      <w:r w:rsidR="00D8072E">
        <w:rPr>
          <w:sz w:val="24"/>
          <w:lang w:val="en-US"/>
        </w:rPr>
        <w:t xml:space="preserve"> film. The results suggest that films quenched using </w:t>
      </w:r>
      <w:r w:rsidR="009B6B0C">
        <w:rPr>
          <w:sz w:val="24"/>
          <w:lang w:val="en-US"/>
        </w:rPr>
        <w:t>the</w:t>
      </w:r>
      <w:r w:rsidR="00D8072E">
        <w:rPr>
          <w:sz w:val="24"/>
          <w:lang w:val="en-US"/>
        </w:rPr>
        <w:t xml:space="preserve"> method can expect to outperform freshly prepared ones with no antisolvent applied, even after they have been stored for 5 weeks in air.</w:t>
      </w:r>
      <w:r w:rsidR="00895EE7">
        <w:rPr>
          <w:sz w:val="24"/>
          <w:lang w:val="en-US"/>
        </w:rPr>
        <w:t xml:space="preserve"> </w:t>
      </w:r>
      <w:r w:rsidR="009B6B0C">
        <w:rPr>
          <w:sz w:val="24"/>
          <w:lang w:val="en-US"/>
        </w:rPr>
        <w:t xml:space="preserve">In terms of the precursor </w:t>
      </w:r>
      <w:r w:rsidR="001D7488">
        <w:rPr>
          <w:sz w:val="24"/>
          <w:lang w:val="en-US"/>
        </w:rPr>
        <w:t>optimization</w:t>
      </w:r>
      <w:r w:rsidR="009B6B0C">
        <w:rPr>
          <w:sz w:val="24"/>
          <w:lang w:val="en-US"/>
        </w:rPr>
        <w:t>, p</w:t>
      </w:r>
      <w:r w:rsidR="00580753">
        <w:rPr>
          <w:sz w:val="24"/>
          <w:lang w:val="en-US"/>
        </w:rPr>
        <w:t xml:space="preserve">reliminary results </w:t>
      </w:r>
      <w:r w:rsidR="001319D5">
        <w:rPr>
          <w:sz w:val="24"/>
          <w:lang w:val="en-US"/>
        </w:rPr>
        <w:t xml:space="preserve">support the claim </w:t>
      </w:r>
      <w:r w:rsidR="00580753">
        <w:rPr>
          <w:sz w:val="24"/>
          <w:lang w:val="en-US"/>
        </w:rPr>
        <w:t xml:space="preserve">that </w:t>
      </w:r>
      <w:r w:rsidR="002E17F2">
        <w:rPr>
          <w:sz w:val="24"/>
          <w:lang w:val="en-US"/>
        </w:rPr>
        <w:t>a</w:t>
      </w:r>
      <w:r w:rsidR="009C2C73">
        <w:rPr>
          <w:sz w:val="24"/>
          <w:lang w:val="en-US"/>
        </w:rPr>
        <w:t xml:space="preserve"> </w:t>
      </w:r>
      <w:proofErr w:type="spellStart"/>
      <w:proofErr w:type="gramStart"/>
      <w:r w:rsidR="009C2C73" w:rsidRPr="00F13A38">
        <w:rPr>
          <w:rFonts w:cstheme="minorHAnsi"/>
          <w:sz w:val="24"/>
          <w:szCs w:val="24"/>
          <w:lang w:val="en-US"/>
        </w:rPr>
        <w:t>dimethylsulfoxide</w:t>
      </w:r>
      <w:r w:rsidR="002E17F2">
        <w:rPr>
          <w:rFonts w:cstheme="minorHAnsi"/>
          <w:sz w:val="24"/>
          <w:szCs w:val="24"/>
          <w:lang w:val="en-US"/>
        </w:rPr>
        <w:t>:</w:t>
      </w:r>
      <w:r w:rsidR="00580753" w:rsidRPr="00F13A38">
        <w:rPr>
          <w:rFonts w:cstheme="minorHAnsi"/>
          <w:sz w:val="24"/>
          <w:szCs w:val="24"/>
          <w:lang w:val="en-US"/>
        </w:rPr>
        <w:t>dimethylformamide</w:t>
      </w:r>
      <w:proofErr w:type="spellEnd"/>
      <w:proofErr w:type="gramEnd"/>
      <w:r w:rsidR="00580753" w:rsidRPr="00F13A38">
        <w:rPr>
          <w:rFonts w:cstheme="minorHAnsi"/>
          <w:sz w:val="24"/>
          <w:szCs w:val="24"/>
          <w:lang w:val="en-US"/>
        </w:rPr>
        <w:t xml:space="preserve"> </w:t>
      </w:r>
      <w:r w:rsidR="00F903B9">
        <w:rPr>
          <w:sz w:val="24"/>
          <w:lang w:val="en-US"/>
        </w:rPr>
        <w:t xml:space="preserve">volumetric </w:t>
      </w:r>
      <w:r w:rsidR="002E17F2">
        <w:rPr>
          <w:rFonts w:cstheme="minorHAnsi"/>
          <w:sz w:val="24"/>
          <w:szCs w:val="24"/>
          <w:lang w:val="en-US"/>
        </w:rPr>
        <w:t>ratio</w:t>
      </w:r>
      <w:r w:rsidR="00580753">
        <w:rPr>
          <w:rFonts w:cstheme="minorHAnsi"/>
          <w:sz w:val="24"/>
          <w:szCs w:val="24"/>
          <w:lang w:val="en-US"/>
        </w:rPr>
        <w:t xml:space="preserve"> </w:t>
      </w:r>
      <w:r w:rsidR="002E17F2">
        <w:rPr>
          <w:rFonts w:cstheme="minorHAnsi"/>
          <w:sz w:val="24"/>
          <w:szCs w:val="24"/>
          <w:lang w:val="en-US"/>
        </w:rPr>
        <w:t>of 2:1 yields</w:t>
      </w:r>
      <w:r w:rsidR="00580753">
        <w:rPr>
          <w:rFonts w:cstheme="minorHAnsi"/>
          <w:sz w:val="24"/>
          <w:szCs w:val="24"/>
          <w:lang w:val="en-US"/>
        </w:rPr>
        <w:t xml:space="preserve"> </w:t>
      </w:r>
      <w:r w:rsidR="00E06796">
        <w:rPr>
          <w:rFonts w:cstheme="minorHAnsi"/>
          <w:sz w:val="24"/>
          <w:szCs w:val="24"/>
          <w:lang w:val="en-US"/>
        </w:rPr>
        <w:t xml:space="preserve">the best </w:t>
      </w:r>
      <w:r w:rsidR="00580753">
        <w:rPr>
          <w:rFonts w:cstheme="minorHAnsi"/>
          <w:sz w:val="24"/>
          <w:szCs w:val="24"/>
          <w:lang w:val="en-US"/>
        </w:rPr>
        <w:t>fresh film quality however it remains to be seen whether this will translate into higher stability</w:t>
      </w:r>
      <w:r w:rsidR="00F825A3">
        <w:rPr>
          <w:rFonts w:cstheme="minorHAnsi"/>
          <w:sz w:val="24"/>
          <w:szCs w:val="24"/>
          <w:lang w:val="en-US"/>
        </w:rPr>
        <w:t>.</w:t>
      </w:r>
      <w:r w:rsidR="00882120">
        <w:rPr>
          <w:rFonts w:cstheme="minorHAnsi"/>
          <w:sz w:val="24"/>
          <w:szCs w:val="24"/>
          <w:lang w:val="en-US"/>
        </w:rPr>
        <w:t xml:space="preserve"> </w:t>
      </w:r>
      <w:r w:rsidR="009B6B0C">
        <w:rPr>
          <w:rFonts w:cstheme="minorHAnsi"/>
          <w:sz w:val="24"/>
          <w:szCs w:val="24"/>
          <w:lang w:val="en-US"/>
        </w:rPr>
        <w:t xml:space="preserve">Since spin coated </w:t>
      </w:r>
      <w:r w:rsidR="009B6B0C">
        <w:rPr>
          <w:sz w:val="24"/>
          <w:lang w:val="en-US"/>
        </w:rPr>
        <w:t>CsPbIBr</w:t>
      </w:r>
      <w:r w:rsidR="009B6B0C" w:rsidRPr="006C0796">
        <w:rPr>
          <w:sz w:val="24"/>
          <w:vertAlign w:val="subscript"/>
          <w:lang w:val="en-US"/>
        </w:rPr>
        <w:t>2</w:t>
      </w:r>
      <w:r w:rsidR="009B6B0C">
        <w:rPr>
          <w:rFonts w:cstheme="minorHAnsi"/>
          <w:sz w:val="24"/>
          <w:szCs w:val="24"/>
          <w:lang w:val="en-US"/>
        </w:rPr>
        <w:t xml:space="preserve"> has been made almost always using </w:t>
      </w:r>
      <w:r w:rsidR="001D7488">
        <w:rPr>
          <w:rFonts w:cstheme="minorHAnsi"/>
          <w:sz w:val="24"/>
          <w:szCs w:val="24"/>
          <w:lang w:val="en-US"/>
        </w:rPr>
        <w:t xml:space="preserve">only </w:t>
      </w:r>
      <w:r w:rsidR="009B6B0C">
        <w:rPr>
          <w:rFonts w:cstheme="minorHAnsi"/>
          <w:sz w:val="24"/>
          <w:szCs w:val="24"/>
          <w:lang w:val="en-US"/>
        </w:rPr>
        <w:t xml:space="preserve">DMSO </w:t>
      </w:r>
      <w:r w:rsidR="001D7488">
        <w:rPr>
          <w:rFonts w:cstheme="minorHAnsi"/>
          <w:sz w:val="24"/>
          <w:szCs w:val="24"/>
          <w:lang w:val="en-US"/>
        </w:rPr>
        <w:t xml:space="preserve">as a solvent </w:t>
      </w:r>
      <w:r w:rsidR="009B6B0C">
        <w:rPr>
          <w:rFonts w:cstheme="minorHAnsi"/>
          <w:sz w:val="24"/>
          <w:szCs w:val="24"/>
          <w:lang w:val="en-US"/>
        </w:rPr>
        <w:t>in the past</w:t>
      </w:r>
      <w:r w:rsidR="001D7488">
        <w:rPr>
          <w:rFonts w:cstheme="minorHAnsi"/>
          <w:sz w:val="24"/>
          <w:szCs w:val="24"/>
          <w:lang w:val="en-US"/>
        </w:rPr>
        <w:t>, t</w:t>
      </w:r>
      <w:r w:rsidR="00F825A3">
        <w:rPr>
          <w:rFonts w:cstheme="minorHAnsi"/>
          <w:sz w:val="24"/>
          <w:szCs w:val="24"/>
          <w:lang w:val="en-US"/>
        </w:rPr>
        <w:t>h</w:t>
      </w:r>
      <w:r w:rsidR="00B60612">
        <w:rPr>
          <w:rFonts w:cstheme="minorHAnsi"/>
          <w:sz w:val="24"/>
          <w:szCs w:val="24"/>
          <w:lang w:val="en-US"/>
        </w:rPr>
        <w:t xml:space="preserve">e inclusion of </w:t>
      </w:r>
      <w:r w:rsidR="00B60612" w:rsidRPr="00F13A38">
        <w:rPr>
          <w:rFonts w:cstheme="minorHAnsi"/>
          <w:sz w:val="24"/>
          <w:szCs w:val="24"/>
          <w:lang w:val="en-US"/>
        </w:rPr>
        <w:t>dimethylformamide</w:t>
      </w:r>
      <w:r w:rsidR="00B60612">
        <w:rPr>
          <w:rFonts w:cstheme="minorHAnsi"/>
          <w:sz w:val="24"/>
          <w:szCs w:val="24"/>
          <w:lang w:val="en-US"/>
        </w:rPr>
        <w:t xml:space="preserve"> (DMF) as a co-solvent</w:t>
      </w:r>
      <w:r w:rsidR="00882120">
        <w:rPr>
          <w:rFonts w:cstheme="minorHAnsi"/>
          <w:sz w:val="24"/>
          <w:szCs w:val="24"/>
          <w:lang w:val="en-US"/>
        </w:rPr>
        <w:t xml:space="preserve"> </w:t>
      </w:r>
      <w:r w:rsidR="001D7488">
        <w:rPr>
          <w:rFonts w:cstheme="minorHAnsi"/>
          <w:sz w:val="24"/>
          <w:szCs w:val="24"/>
          <w:lang w:val="en-US"/>
        </w:rPr>
        <w:t>could</w:t>
      </w:r>
      <w:r w:rsidR="00B60612">
        <w:rPr>
          <w:rFonts w:cstheme="minorHAnsi"/>
          <w:sz w:val="24"/>
          <w:szCs w:val="24"/>
          <w:lang w:val="en-US"/>
        </w:rPr>
        <w:t xml:space="preserve"> provide</w:t>
      </w:r>
      <w:r w:rsidR="00882120">
        <w:rPr>
          <w:rFonts w:cstheme="minorHAnsi"/>
          <w:sz w:val="24"/>
          <w:szCs w:val="24"/>
          <w:lang w:val="en-US"/>
        </w:rPr>
        <w:t xml:space="preserve"> a simple method for enhancing many of the previously published results</w:t>
      </w:r>
      <w:r w:rsidR="001D7488">
        <w:rPr>
          <w:rFonts w:cstheme="minorHAnsi"/>
          <w:sz w:val="24"/>
          <w:szCs w:val="24"/>
          <w:lang w:val="en-US"/>
        </w:rPr>
        <w:t>.</w:t>
      </w:r>
    </w:p>
    <w:p w14:paraId="167D32CA" w14:textId="14EE0AED" w:rsidR="007A3783" w:rsidRDefault="007A3783" w:rsidP="007A3783">
      <w:pPr>
        <w:pStyle w:val="Heading1"/>
        <w:spacing w:before="480" w:after="240"/>
        <w:rPr>
          <w:rFonts w:ascii="Times New Roman" w:hAnsi="Times New Roman" w:cs="Times New Roman"/>
          <w:b/>
          <w:color w:val="auto"/>
          <w:sz w:val="28"/>
          <w:szCs w:val="28"/>
          <w:lang w:val="en-US"/>
        </w:rPr>
      </w:pPr>
      <w:r>
        <w:rPr>
          <w:rFonts w:ascii="Times New Roman" w:hAnsi="Times New Roman" w:cs="Times New Roman"/>
          <w:b/>
          <w:color w:val="auto"/>
          <w:sz w:val="28"/>
          <w:szCs w:val="28"/>
          <w:lang w:val="en-US"/>
        </w:rPr>
        <w:t>Importance of Research</w:t>
      </w:r>
    </w:p>
    <w:p w14:paraId="281C74EA" w14:textId="0D7546B6" w:rsidR="007A3783" w:rsidRPr="00F13A38" w:rsidRDefault="007A3783" w:rsidP="007A3783">
      <w:pPr>
        <w:spacing w:before="120"/>
        <w:ind w:firstLine="567"/>
        <w:jc w:val="both"/>
        <w:rPr>
          <w:rFonts w:cstheme="minorHAnsi"/>
          <w:sz w:val="24"/>
          <w:lang w:val="en-US"/>
        </w:rPr>
      </w:pPr>
      <w:r>
        <w:rPr>
          <w:sz w:val="24"/>
          <w:lang w:val="en-US"/>
        </w:rPr>
        <w:t>CsPbIBr</w:t>
      </w:r>
      <w:r w:rsidRPr="006C0796">
        <w:rPr>
          <w:sz w:val="24"/>
          <w:vertAlign w:val="subscript"/>
          <w:lang w:val="en-US"/>
        </w:rPr>
        <w:t>2</w:t>
      </w:r>
      <w:r>
        <w:rPr>
          <w:sz w:val="24"/>
          <w:vertAlign w:val="subscript"/>
          <w:lang w:val="en-US"/>
        </w:rPr>
        <w:t xml:space="preserve"> </w:t>
      </w:r>
      <w:r w:rsidRPr="00F13A38">
        <w:rPr>
          <w:rFonts w:cstheme="minorHAnsi"/>
          <w:sz w:val="24"/>
          <w:lang w:val="en-US"/>
        </w:rPr>
        <w:t>films</w:t>
      </w:r>
      <w:r>
        <w:rPr>
          <w:rFonts w:cstheme="minorHAnsi"/>
          <w:sz w:val="24"/>
          <w:lang w:val="en-US"/>
        </w:rPr>
        <w:t xml:space="preserve"> are especially relevant to the field of</w:t>
      </w:r>
      <w:r w:rsidRPr="00F13A38">
        <w:rPr>
          <w:rFonts w:cstheme="minorHAnsi"/>
          <w:sz w:val="24"/>
          <w:lang w:val="en-US"/>
        </w:rPr>
        <w:t xml:space="preserve"> tandem devices or light emitting diodes, </w:t>
      </w:r>
      <w:r>
        <w:rPr>
          <w:rFonts w:cstheme="minorHAnsi"/>
          <w:sz w:val="24"/>
          <w:lang w:val="en-US"/>
        </w:rPr>
        <w:t>due to their suitable optoelectronic properties and wide bandgap. Tandem perovskites have recently been gaining a lot of traction in the community as perovskite-on-silicon modules are on the cusp of breaking through the 30% PCE barrier. Inorganic perovskites are well suited for this application due to their increased thermal and optical stability when compared to hybrid organic-inorganic cells. Moreover, the move away from volatile cations such as methylammonium promises to bring long term stability rewards.  That said,</w:t>
      </w:r>
      <w:r w:rsidRPr="00F13A38">
        <w:rPr>
          <w:rFonts w:cstheme="minorHAnsi"/>
          <w:sz w:val="24"/>
          <w:lang w:val="en-US"/>
        </w:rPr>
        <w:t xml:space="preserve"> many questions remain about </w:t>
      </w:r>
      <w:r>
        <w:rPr>
          <w:rFonts w:cstheme="minorHAnsi"/>
          <w:sz w:val="24"/>
          <w:lang w:val="en-US"/>
        </w:rPr>
        <w:t>what</w:t>
      </w:r>
      <w:r w:rsidRPr="00F13A38">
        <w:rPr>
          <w:rFonts w:cstheme="minorHAnsi"/>
          <w:sz w:val="24"/>
          <w:lang w:val="en-US"/>
        </w:rPr>
        <w:t xml:space="preserve"> </w:t>
      </w:r>
      <w:r>
        <w:rPr>
          <w:rFonts w:cstheme="minorHAnsi"/>
          <w:sz w:val="24"/>
          <w:lang w:val="en-US"/>
        </w:rPr>
        <w:t>effect fundamental</w:t>
      </w:r>
      <w:r w:rsidRPr="00F13A38">
        <w:rPr>
          <w:rFonts w:cstheme="minorHAnsi"/>
          <w:sz w:val="24"/>
          <w:lang w:val="en-US"/>
        </w:rPr>
        <w:t xml:space="preserve"> parameters of the spin process have on </w:t>
      </w:r>
      <w:r>
        <w:rPr>
          <w:rFonts w:cstheme="minorHAnsi"/>
          <w:sz w:val="24"/>
          <w:lang w:val="en-US"/>
        </w:rPr>
        <w:t xml:space="preserve">the </w:t>
      </w:r>
      <w:r w:rsidRPr="00F13A38">
        <w:rPr>
          <w:rFonts w:cstheme="minorHAnsi"/>
          <w:sz w:val="24"/>
          <w:lang w:val="en-US"/>
        </w:rPr>
        <w:t>final film</w:t>
      </w:r>
      <w:r>
        <w:rPr>
          <w:rFonts w:cstheme="minorHAnsi"/>
          <w:sz w:val="24"/>
          <w:lang w:val="en-US"/>
        </w:rPr>
        <w:t>’s</w:t>
      </w:r>
      <w:r w:rsidRPr="00F13A38">
        <w:rPr>
          <w:rFonts w:cstheme="minorHAnsi"/>
          <w:sz w:val="24"/>
          <w:lang w:val="en-US"/>
        </w:rPr>
        <w:t xml:space="preserve"> quality. </w:t>
      </w:r>
      <w:r>
        <w:rPr>
          <w:rFonts w:cstheme="minorHAnsi"/>
          <w:sz w:val="24"/>
          <w:lang w:val="en-US"/>
        </w:rPr>
        <w:t>My</w:t>
      </w:r>
      <w:r w:rsidRPr="00F13A38">
        <w:rPr>
          <w:rFonts w:cstheme="minorHAnsi"/>
          <w:sz w:val="24"/>
          <w:lang w:val="en-US"/>
        </w:rPr>
        <w:t xml:space="preserve"> work concerns itself with the tackling some of </w:t>
      </w:r>
      <w:r>
        <w:rPr>
          <w:rFonts w:cstheme="minorHAnsi"/>
          <w:sz w:val="24"/>
          <w:lang w:val="en-US"/>
        </w:rPr>
        <w:t>the</w:t>
      </w:r>
      <w:r w:rsidRPr="00F13A38">
        <w:rPr>
          <w:rFonts w:cstheme="minorHAnsi"/>
          <w:sz w:val="24"/>
          <w:lang w:val="en-US"/>
        </w:rPr>
        <w:t xml:space="preserve"> major </w:t>
      </w:r>
      <w:r>
        <w:rPr>
          <w:rFonts w:cstheme="minorHAnsi"/>
          <w:sz w:val="24"/>
          <w:lang w:val="en-US"/>
        </w:rPr>
        <w:t xml:space="preserve">unresolved </w:t>
      </w:r>
      <w:r w:rsidRPr="00F13A38">
        <w:rPr>
          <w:rFonts w:cstheme="minorHAnsi"/>
          <w:sz w:val="24"/>
          <w:lang w:val="en-US"/>
        </w:rPr>
        <w:t>questions</w:t>
      </w:r>
      <w:r>
        <w:rPr>
          <w:rFonts w:cstheme="minorHAnsi"/>
          <w:sz w:val="24"/>
          <w:lang w:val="en-US"/>
        </w:rPr>
        <w:t xml:space="preserve">. While the technique of solvent engineering has been successfully applied to many perovskite compositions in the past, my work is innovative because it is the first of its kind for one-step spin coated </w:t>
      </w:r>
      <w:r>
        <w:rPr>
          <w:sz w:val="24"/>
          <w:lang w:val="en-US"/>
        </w:rPr>
        <w:t>CsPbIBr</w:t>
      </w:r>
      <w:r w:rsidRPr="006C0796">
        <w:rPr>
          <w:sz w:val="24"/>
          <w:vertAlign w:val="subscript"/>
          <w:lang w:val="en-US"/>
        </w:rPr>
        <w:t>2</w:t>
      </w:r>
      <w:r>
        <w:rPr>
          <w:sz w:val="24"/>
          <w:vertAlign w:val="subscript"/>
          <w:lang w:val="en-US"/>
        </w:rPr>
        <w:t xml:space="preserve"> </w:t>
      </w:r>
      <w:r>
        <w:rPr>
          <w:rFonts w:cstheme="minorHAnsi"/>
          <w:sz w:val="24"/>
          <w:lang w:val="en-US"/>
        </w:rPr>
        <w:t xml:space="preserve">thin films. </w:t>
      </w:r>
    </w:p>
    <w:p w14:paraId="47C87F3C" w14:textId="7DFB58A1" w:rsidR="007A3783" w:rsidRDefault="007A3783" w:rsidP="007A3783">
      <w:pPr>
        <w:pStyle w:val="Heading1"/>
        <w:spacing w:before="480" w:after="240"/>
        <w:rPr>
          <w:rFonts w:ascii="Times New Roman" w:hAnsi="Times New Roman" w:cs="Times New Roman"/>
          <w:b/>
          <w:color w:val="auto"/>
          <w:sz w:val="28"/>
          <w:szCs w:val="28"/>
          <w:lang w:val="en-US"/>
        </w:rPr>
      </w:pPr>
      <w:r>
        <w:rPr>
          <w:rFonts w:ascii="Times New Roman" w:hAnsi="Times New Roman" w:cs="Times New Roman"/>
          <w:b/>
          <w:color w:val="auto"/>
          <w:sz w:val="28"/>
          <w:szCs w:val="28"/>
          <w:lang w:val="en-US"/>
        </w:rPr>
        <w:t>Biography</w:t>
      </w:r>
    </w:p>
    <w:p w14:paraId="18C66F64" w14:textId="73AC8575" w:rsidR="00C36F95" w:rsidRDefault="007A3783" w:rsidP="007A3783">
      <w:pPr>
        <w:jc w:val="both"/>
        <w:rPr>
          <w:sz w:val="24"/>
          <w:lang w:val="en-US"/>
        </w:rPr>
      </w:pPr>
      <w:r>
        <w:rPr>
          <w:sz w:val="24"/>
          <w:lang w:val="en-US"/>
        </w:rPr>
        <w:t xml:space="preserve">Alexander Wyn Stewart received his </w:t>
      </w:r>
      <w:proofErr w:type="spellStart"/>
      <w:r>
        <w:rPr>
          <w:sz w:val="24"/>
          <w:lang w:val="en-US"/>
        </w:rPr>
        <w:t>Masters</w:t>
      </w:r>
      <w:proofErr w:type="spellEnd"/>
      <w:r>
        <w:rPr>
          <w:sz w:val="24"/>
          <w:lang w:val="en-US"/>
        </w:rPr>
        <w:t xml:space="preserve"> in Theoretical Physics, from the University of Leeds, and his Masters in Sensors for Industrial Applications, from the Polytechnic University of Valencia, in 2018 and 2019 respectively.</w:t>
      </w:r>
      <w:r w:rsidR="009F1662">
        <w:rPr>
          <w:sz w:val="24"/>
          <w:lang w:val="en-US"/>
        </w:rPr>
        <w:t xml:space="preserve"> </w:t>
      </w:r>
      <w:r>
        <w:rPr>
          <w:sz w:val="24"/>
          <w:lang w:val="en-US"/>
        </w:rPr>
        <w:t xml:space="preserve">Since </w:t>
      </w:r>
      <w:r w:rsidR="009F1662">
        <w:rPr>
          <w:sz w:val="24"/>
          <w:lang w:val="en-US"/>
        </w:rPr>
        <w:t>then,</w:t>
      </w:r>
      <w:r>
        <w:rPr>
          <w:sz w:val="24"/>
          <w:lang w:val="en-US"/>
        </w:rPr>
        <w:t xml:space="preserve"> he has been carrying out his PhD on </w:t>
      </w:r>
      <w:r>
        <w:rPr>
          <w:sz w:val="24"/>
          <w:lang w:val="en-US"/>
        </w:rPr>
        <w:lastRenderedPageBreak/>
        <w:t xml:space="preserve">“Perovskites for Photovoltaic Applications” at the Polytechnic University of Valencia, where he has been serving as the elected representative of his program for over 2 years. He is currently working at the Photovoltaic Institute of Ile de France (IPVF) as a visiting researcher. To date he has 2 published articles and has given one oral presentation at the EMRS conference. He is also a reviewer at the </w:t>
      </w:r>
      <w:r w:rsidR="009815D8" w:rsidRPr="009815D8">
        <w:rPr>
          <w:sz w:val="24"/>
          <w:lang w:val="en-US"/>
        </w:rPr>
        <w:t>Materials science in semiconductor processing</w:t>
      </w:r>
      <w:r w:rsidR="009815D8">
        <w:rPr>
          <w:sz w:val="24"/>
          <w:lang w:val="en-US"/>
        </w:rPr>
        <w:t xml:space="preserve"> (IF 3.9).</w:t>
      </w:r>
    </w:p>
    <w:p w14:paraId="65043551" w14:textId="40FB2FB9" w:rsidR="00CC52F7" w:rsidRDefault="00CC52F7" w:rsidP="00CC52F7">
      <w:pPr>
        <w:pStyle w:val="Heading1"/>
        <w:spacing w:before="480" w:after="240"/>
        <w:rPr>
          <w:rFonts w:ascii="Times New Roman" w:hAnsi="Times New Roman" w:cs="Times New Roman"/>
          <w:b/>
          <w:color w:val="auto"/>
          <w:sz w:val="28"/>
          <w:szCs w:val="28"/>
          <w:lang w:val="en-US"/>
        </w:rPr>
      </w:pPr>
      <w:r>
        <w:rPr>
          <w:rFonts w:ascii="Times New Roman" w:hAnsi="Times New Roman" w:cs="Times New Roman"/>
          <w:b/>
          <w:color w:val="auto"/>
          <w:sz w:val="28"/>
          <w:szCs w:val="28"/>
          <w:lang w:val="en-US"/>
        </w:rPr>
        <w:t>About University</w:t>
      </w:r>
    </w:p>
    <w:p w14:paraId="3C88BE95" w14:textId="3BE1CE79" w:rsidR="00CC52F7" w:rsidRPr="00802A85" w:rsidRDefault="00CC52F7" w:rsidP="007A3783">
      <w:pPr>
        <w:jc w:val="both"/>
        <w:rPr>
          <w:lang w:val="en-US"/>
        </w:rPr>
      </w:pPr>
      <w:r>
        <w:rPr>
          <w:lang w:val="en-US"/>
        </w:rPr>
        <w:t xml:space="preserve">The Polytechnic University of Valencia (UPV) is an engineering focused university with over 38,000 students. It offers many </w:t>
      </w:r>
      <w:proofErr w:type="gramStart"/>
      <w:r>
        <w:rPr>
          <w:lang w:val="en-US"/>
        </w:rPr>
        <w:t>Bachelors</w:t>
      </w:r>
      <w:proofErr w:type="gramEnd"/>
      <w:r>
        <w:rPr>
          <w:lang w:val="en-US"/>
        </w:rPr>
        <w:t xml:space="preserve"> and Masters courses including: Aerospace, Civil, Industrial, Chemical, </w:t>
      </w:r>
      <w:r w:rsidR="00115479">
        <w:rPr>
          <w:lang w:val="en-US"/>
        </w:rPr>
        <w:t>Telecommunications</w:t>
      </w:r>
      <w:r>
        <w:rPr>
          <w:lang w:val="en-US"/>
        </w:rPr>
        <w:t xml:space="preserve"> and Industrial Engineering. It has been ranked by the </w:t>
      </w:r>
      <w:r>
        <w:rPr>
          <w:rStyle w:val="hgkelc"/>
        </w:rPr>
        <w:t>BBVA Foundation</w:t>
      </w:r>
      <w:r>
        <w:rPr>
          <w:rStyle w:val="hgkelc"/>
        </w:rPr>
        <w:t xml:space="preserve"> as the best university in Spain at a teaching level and often features in the top world rankings.</w:t>
      </w:r>
    </w:p>
    <w:sectPr w:rsidR="00CC52F7" w:rsidRPr="00802A85">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36F95"/>
    <w:rsid w:val="00003A5C"/>
    <w:rsid w:val="00057C15"/>
    <w:rsid w:val="000878CF"/>
    <w:rsid w:val="000B1B64"/>
    <w:rsid w:val="000C38F0"/>
    <w:rsid w:val="000F4132"/>
    <w:rsid w:val="00114D6E"/>
    <w:rsid w:val="00115479"/>
    <w:rsid w:val="001319D5"/>
    <w:rsid w:val="001A1C9B"/>
    <w:rsid w:val="001B4733"/>
    <w:rsid w:val="001B5918"/>
    <w:rsid w:val="001B60D3"/>
    <w:rsid w:val="001D7488"/>
    <w:rsid w:val="00207FDE"/>
    <w:rsid w:val="00222CA6"/>
    <w:rsid w:val="00270A56"/>
    <w:rsid w:val="002C3134"/>
    <w:rsid w:val="002C3F21"/>
    <w:rsid w:val="002D0764"/>
    <w:rsid w:val="002E17F2"/>
    <w:rsid w:val="00305C66"/>
    <w:rsid w:val="003D554D"/>
    <w:rsid w:val="003E3101"/>
    <w:rsid w:val="00447D01"/>
    <w:rsid w:val="0045714F"/>
    <w:rsid w:val="0046475D"/>
    <w:rsid w:val="004742D8"/>
    <w:rsid w:val="0047601E"/>
    <w:rsid w:val="004A297B"/>
    <w:rsid w:val="004A6D88"/>
    <w:rsid w:val="00580753"/>
    <w:rsid w:val="00581890"/>
    <w:rsid w:val="005A1952"/>
    <w:rsid w:val="005A7A81"/>
    <w:rsid w:val="005B2463"/>
    <w:rsid w:val="005D3FEA"/>
    <w:rsid w:val="005D4A9B"/>
    <w:rsid w:val="0066145A"/>
    <w:rsid w:val="0067192C"/>
    <w:rsid w:val="006A77DD"/>
    <w:rsid w:val="006C0796"/>
    <w:rsid w:val="006F1FAC"/>
    <w:rsid w:val="0070609D"/>
    <w:rsid w:val="00727B4A"/>
    <w:rsid w:val="00766009"/>
    <w:rsid w:val="007A3783"/>
    <w:rsid w:val="007F6CDD"/>
    <w:rsid w:val="00802A85"/>
    <w:rsid w:val="008637FB"/>
    <w:rsid w:val="00875EE7"/>
    <w:rsid w:val="00882120"/>
    <w:rsid w:val="00895EE7"/>
    <w:rsid w:val="008B34C4"/>
    <w:rsid w:val="008C1120"/>
    <w:rsid w:val="00952C64"/>
    <w:rsid w:val="0096395C"/>
    <w:rsid w:val="009815D8"/>
    <w:rsid w:val="009B03BE"/>
    <w:rsid w:val="009B6B0C"/>
    <w:rsid w:val="009C2C73"/>
    <w:rsid w:val="009D2590"/>
    <w:rsid w:val="009F1662"/>
    <w:rsid w:val="00AB4FCF"/>
    <w:rsid w:val="00AF3F7B"/>
    <w:rsid w:val="00B239C9"/>
    <w:rsid w:val="00B248C9"/>
    <w:rsid w:val="00B45EF0"/>
    <w:rsid w:val="00B60612"/>
    <w:rsid w:val="00B83537"/>
    <w:rsid w:val="00BE2E15"/>
    <w:rsid w:val="00BF3457"/>
    <w:rsid w:val="00C36F95"/>
    <w:rsid w:val="00CC52F7"/>
    <w:rsid w:val="00CD2591"/>
    <w:rsid w:val="00D0516F"/>
    <w:rsid w:val="00D05BB7"/>
    <w:rsid w:val="00D4337D"/>
    <w:rsid w:val="00D50FA8"/>
    <w:rsid w:val="00D62C7E"/>
    <w:rsid w:val="00D660B2"/>
    <w:rsid w:val="00D8072E"/>
    <w:rsid w:val="00D80FDF"/>
    <w:rsid w:val="00E06796"/>
    <w:rsid w:val="00E249CB"/>
    <w:rsid w:val="00E50EE7"/>
    <w:rsid w:val="00ED3CF5"/>
    <w:rsid w:val="00EE73C0"/>
    <w:rsid w:val="00EF6008"/>
    <w:rsid w:val="00F10954"/>
    <w:rsid w:val="00F13A38"/>
    <w:rsid w:val="00F545E2"/>
    <w:rsid w:val="00F816ED"/>
    <w:rsid w:val="00F825A3"/>
    <w:rsid w:val="00F903B9"/>
    <w:rsid w:val="00FD302E"/>
    <w:rsid w:val="00FF3483"/>
  </w:rsids>
  <m:mathPr>
    <m:mathFont m:val="Cambria Math"/>
    <m:brkBin m:val="before"/>
    <m:brkBinSub m:val="--"/>
    <m:smallFrac m:val="0"/>
    <m:dispDef/>
    <m:lMargin m:val="0"/>
    <m:rMargin m:val="0"/>
    <m:defJc m:val="centerGroup"/>
    <m:wrapIndent m:val="1440"/>
    <m:intLim m:val="subSup"/>
    <m:naryLim m:val="undOvr"/>
  </m:mathPr>
  <w:themeFontLang w:val="en-GB"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5CA5360"/>
  <w15:chartTrackingRefBased/>
  <w15:docId w15:val="{09F4AFFA-B505-4E8B-A4C1-9CDD6A57BD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qFormat/>
    <w:rsid w:val="00802A85"/>
    <w:pPr>
      <w:keepNext/>
      <w:keepLines/>
      <w:tabs>
        <w:tab w:val="left" w:pos="284"/>
      </w:tabs>
      <w:spacing w:before="240" w:after="0" w:line="240" w:lineRule="auto"/>
      <w:jc w:val="both"/>
      <w:outlineLvl w:val="0"/>
    </w:pPr>
    <w:rPr>
      <w:rFonts w:asciiTheme="majorHAnsi" w:eastAsiaTheme="majorEastAsia" w:hAnsiTheme="majorHAnsi" w:cstheme="majorBidi"/>
      <w:color w:val="2F5496" w:themeColor="accent1" w:themeShade="BF"/>
      <w:sz w:val="32"/>
      <w:szCs w:val="32"/>
      <w:lang w:val="it-IT" w:eastAsia="it-IT"/>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802A85"/>
    <w:rPr>
      <w:rFonts w:asciiTheme="majorHAnsi" w:eastAsiaTheme="majorEastAsia" w:hAnsiTheme="majorHAnsi" w:cstheme="majorBidi"/>
      <w:color w:val="2F5496" w:themeColor="accent1" w:themeShade="BF"/>
      <w:sz w:val="32"/>
      <w:szCs w:val="32"/>
      <w:lang w:val="it-IT" w:eastAsia="it-IT"/>
    </w:rPr>
  </w:style>
  <w:style w:type="character" w:styleId="CommentReference">
    <w:name w:val="annotation reference"/>
    <w:basedOn w:val="DefaultParagraphFont"/>
    <w:uiPriority w:val="99"/>
    <w:semiHidden/>
    <w:unhideWhenUsed/>
    <w:rsid w:val="00F825A3"/>
    <w:rPr>
      <w:sz w:val="16"/>
      <w:szCs w:val="16"/>
    </w:rPr>
  </w:style>
  <w:style w:type="paragraph" w:styleId="CommentText">
    <w:name w:val="annotation text"/>
    <w:basedOn w:val="Normal"/>
    <w:link w:val="CommentTextChar"/>
    <w:uiPriority w:val="99"/>
    <w:semiHidden/>
    <w:unhideWhenUsed/>
    <w:rsid w:val="00F825A3"/>
    <w:pPr>
      <w:spacing w:line="240" w:lineRule="auto"/>
    </w:pPr>
    <w:rPr>
      <w:sz w:val="20"/>
      <w:szCs w:val="20"/>
    </w:rPr>
  </w:style>
  <w:style w:type="character" w:customStyle="1" w:styleId="CommentTextChar">
    <w:name w:val="Comment Text Char"/>
    <w:basedOn w:val="DefaultParagraphFont"/>
    <w:link w:val="CommentText"/>
    <w:uiPriority w:val="99"/>
    <w:semiHidden/>
    <w:rsid w:val="00F825A3"/>
    <w:rPr>
      <w:sz w:val="20"/>
      <w:szCs w:val="20"/>
    </w:rPr>
  </w:style>
  <w:style w:type="paragraph" w:styleId="CommentSubject">
    <w:name w:val="annotation subject"/>
    <w:basedOn w:val="CommentText"/>
    <w:next w:val="CommentText"/>
    <w:link w:val="CommentSubjectChar"/>
    <w:uiPriority w:val="99"/>
    <w:semiHidden/>
    <w:unhideWhenUsed/>
    <w:rsid w:val="00F825A3"/>
    <w:rPr>
      <w:b/>
      <w:bCs/>
    </w:rPr>
  </w:style>
  <w:style w:type="character" w:customStyle="1" w:styleId="CommentSubjectChar">
    <w:name w:val="Comment Subject Char"/>
    <w:basedOn w:val="CommentTextChar"/>
    <w:link w:val="CommentSubject"/>
    <w:uiPriority w:val="99"/>
    <w:semiHidden/>
    <w:rsid w:val="00F825A3"/>
    <w:rPr>
      <w:b/>
      <w:bCs/>
      <w:sz w:val="20"/>
      <w:szCs w:val="20"/>
    </w:rPr>
  </w:style>
  <w:style w:type="paragraph" w:styleId="BalloonText">
    <w:name w:val="Balloon Text"/>
    <w:basedOn w:val="Normal"/>
    <w:link w:val="BalloonTextChar"/>
    <w:uiPriority w:val="99"/>
    <w:semiHidden/>
    <w:unhideWhenUsed/>
    <w:rsid w:val="00F825A3"/>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825A3"/>
    <w:rPr>
      <w:rFonts w:ascii="Segoe UI" w:hAnsi="Segoe UI" w:cs="Segoe UI"/>
      <w:sz w:val="18"/>
      <w:szCs w:val="18"/>
    </w:rPr>
  </w:style>
  <w:style w:type="paragraph" w:styleId="Revision">
    <w:name w:val="Revision"/>
    <w:hidden/>
    <w:uiPriority w:val="99"/>
    <w:semiHidden/>
    <w:rsid w:val="00114D6E"/>
    <w:pPr>
      <w:spacing w:after="0" w:line="240" w:lineRule="auto"/>
    </w:pPr>
  </w:style>
  <w:style w:type="character" w:customStyle="1" w:styleId="hgkelc">
    <w:name w:val="hgkelc"/>
    <w:basedOn w:val="DefaultParagraphFont"/>
    <w:rsid w:val="00CC52F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80809599">
      <w:bodyDiv w:val="1"/>
      <w:marLeft w:val="0"/>
      <w:marRight w:val="0"/>
      <w:marTop w:val="0"/>
      <w:marBottom w:val="0"/>
      <w:divBdr>
        <w:top w:val="none" w:sz="0" w:space="0" w:color="auto"/>
        <w:left w:val="none" w:sz="0" w:space="0" w:color="auto"/>
        <w:bottom w:val="none" w:sz="0" w:space="0" w:color="auto"/>
        <w:right w:val="none" w:sz="0" w:space="0" w:color="auto"/>
      </w:divBdr>
    </w:div>
    <w:div w:id="16637747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94BC037-DF6E-499C-A67A-A5B94C06500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32</TotalTime>
  <Pages>2</Pages>
  <Words>545</Words>
  <Characters>3111</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3649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alex s</dc:creator>
  <cp:keywords/>
  <dc:description/>
  <cp:lastModifiedBy>alex s</cp:lastModifiedBy>
  <cp:revision>9</cp:revision>
  <dcterms:created xsi:type="dcterms:W3CDTF">2022-02-17T10:56:00Z</dcterms:created>
  <dcterms:modified xsi:type="dcterms:W3CDTF">2022-02-17T11:33:00Z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Document_1">
    <vt:lpwstr>True</vt:lpwstr>
  </property>
  <property fmtid="{D5CDD505-2E9C-101B-9397-08002B2CF9AE}" pid="3" name="Mendeley Unique User Id_1">
    <vt:lpwstr>56a1e298-ca5f-335c-a9fe-4d9f8703cfc3</vt:lpwstr>
  </property>
  <property fmtid="{D5CDD505-2E9C-101B-9397-08002B2CF9AE}" pid="4" name="Mendeley Citation Style_1">
    <vt:lpwstr>http://www.zotero.org/styles/nature</vt:lpwstr>
  </property>
  <property fmtid="{D5CDD505-2E9C-101B-9397-08002B2CF9AE}" pid="5" name="Mendeley Recent Style Id 0_1">
    <vt:lpwstr>http://www.zotero.org/styles/american-medical-association</vt:lpwstr>
  </property>
  <property fmtid="{D5CDD505-2E9C-101B-9397-08002B2CF9AE}" pid="6" name="Mendeley Recent Style Name 0_1">
    <vt:lpwstr>American Medical Association 11th edition</vt:lpwstr>
  </property>
  <property fmtid="{D5CDD505-2E9C-101B-9397-08002B2CF9AE}" pid="7" name="Mendeley Recent Style Id 1_1">
    <vt:lpwstr>http://www.zotero.org/styles/american-political-science-association</vt:lpwstr>
  </property>
  <property fmtid="{D5CDD505-2E9C-101B-9397-08002B2CF9AE}" pid="8" name="Mendeley Recent Style Name 1_1">
    <vt:lpwstr>American Political Science Association</vt:lpwstr>
  </property>
  <property fmtid="{D5CDD505-2E9C-101B-9397-08002B2CF9AE}" pid="9" name="Mendeley Recent Style Id 2_1">
    <vt:lpwstr>http://www.zotero.org/styles/apa</vt:lpwstr>
  </property>
  <property fmtid="{D5CDD505-2E9C-101B-9397-08002B2CF9AE}" pid="10" name="Mendeley Recent Style Name 2_1">
    <vt:lpwstr>American Psychological Association 7th edition</vt:lpwstr>
  </property>
  <property fmtid="{D5CDD505-2E9C-101B-9397-08002B2CF9AE}" pid="11" name="Mendeley Recent Style Id 3_1">
    <vt:lpwstr>http://www.zotero.org/styles/american-sociological-association</vt:lpwstr>
  </property>
  <property fmtid="{D5CDD505-2E9C-101B-9397-08002B2CF9AE}" pid="12" name="Mendeley Recent Style Name 3_1">
    <vt:lpwstr>American Sociological Association 6th edition</vt:lpwstr>
  </property>
  <property fmtid="{D5CDD505-2E9C-101B-9397-08002B2CF9AE}" pid="13" name="Mendeley Recent Style Id 4_1">
    <vt:lpwstr>http://www.zotero.org/styles/chicago-author-date</vt:lpwstr>
  </property>
  <property fmtid="{D5CDD505-2E9C-101B-9397-08002B2CF9AE}" pid="14" name="Mendeley Recent Style Name 4_1">
    <vt:lpwstr>Chicago Manual of Style 17th edition (author-date)</vt:lpwstr>
  </property>
  <property fmtid="{D5CDD505-2E9C-101B-9397-08002B2CF9AE}" pid="15" name="Mendeley Recent Style Id 5_1">
    <vt:lpwstr>http://www.zotero.org/styles/harvard-cite-them-right</vt:lpwstr>
  </property>
  <property fmtid="{D5CDD505-2E9C-101B-9397-08002B2CF9AE}" pid="16" name="Mendeley Recent Style Name 5_1">
    <vt:lpwstr>Cite Them Right 10th edition - Harvard</vt:lpwstr>
  </property>
  <property fmtid="{D5CDD505-2E9C-101B-9397-08002B2CF9AE}" pid="17" name="Mendeley Recent Style Id 6_1">
    <vt:lpwstr>http://www.zotero.org/styles/journal-of-materials-science</vt:lpwstr>
  </property>
  <property fmtid="{D5CDD505-2E9C-101B-9397-08002B2CF9AE}" pid="18" name="Mendeley Recent Style Name 6_1">
    <vt:lpwstr>Journal of Materials Science</vt:lpwstr>
  </property>
  <property fmtid="{D5CDD505-2E9C-101B-9397-08002B2CF9AE}" pid="19" name="Mendeley Recent Style Id 7_1">
    <vt:lpwstr>http://www.zotero.org/styles/modern-humanities-research-association</vt:lpwstr>
  </property>
  <property fmtid="{D5CDD505-2E9C-101B-9397-08002B2CF9AE}" pid="20" name="Mendeley Recent Style Name 7_1">
    <vt:lpwstr>Modern Humanities Research Association 3rd edition (note with bibliography)</vt:lpwstr>
  </property>
  <property fmtid="{D5CDD505-2E9C-101B-9397-08002B2CF9AE}" pid="21" name="Mendeley Recent Style Id 8_1">
    <vt:lpwstr>http://www.zotero.org/styles/nature</vt:lpwstr>
  </property>
  <property fmtid="{D5CDD505-2E9C-101B-9397-08002B2CF9AE}" pid="22" name="Mendeley Recent Style Name 8_1">
    <vt:lpwstr>Nature</vt:lpwstr>
  </property>
  <property fmtid="{D5CDD505-2E9C-101B-9397-08002B2CF9AE}" pid="23" name="Mendeley Recent Style Id 9_1">
    <vt:lpwstr>http://www.zotero.org/styles/thin-solid-films</vt:lpwstr>
  </property>
  <property fmtid="{D5CDD505-2E9C-101B-9397-08002B2CF9AE}" pid="24" name="Mendeley Recent Style Name 9_1">
    <vt:lpwstr>Thin Solid Films</vt:lpwstr>
  </property>
</Properties>
</file>