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6C42A1" w:rsidP="00494130">
      <w:pPr>
        <w:pStyle w:val="1"/>
        <w:spacing w:before="170"/>
        <w:ind w:left="0"/>
      </w:pPr>
      <w:r>
        <w:rPr>
          <w:color w:val="337AB7"/>
        </w:rPr>
        <w:t>Effect</w:t>
      </w:r>
      <w:r w:rsidR="00621917" w:rsidRPr="00621917">
        <w:rPr>
          <w:color w:val="337AB7"/>
        </w:rPr>
        <w:t xml:space="preserve"> of surface </w:t>
      </w:r>
      <w:r>
        <w:rPr>
          <w:color w:val="337AB7"/>
        </w:rPr>
        <w:t>treatment</w:t>
      </w:r>
      <w:r w:rsidR="00621917" w:rsidRPr="00621917">
        <w:rPr>
          <w:color w:val="337AB7"/>
        </w:rPr>
        <w:t xml:space="preserve"> on wettability of tetragonal zirconia </w:t>
      </w:r>
      <w:proofErr w:type="spellStart"/>
      <w:r w:rsidR="00621917" w:rsidRPr="00621917">
        <w:rPr>
          <w:color w:val="337AB7"/>
        </w:rPr>
        <w:t>polycrystal</w:t>
      </w:r>
      <w:r w:rsidR="00291409">
        <w:rPr>
          <w:rFonts w:eastAsiaTheme="minorEastAsia" w:hint="eastAsia"/>
          <w:color w:val="337AB7"/>
          <w:lang w:eastAsia="ja-JP"/>
        </w:rPr>
        <w:t>s</w:t>
      </w:r>
      <w:proofErr w:type="spellEnd"/>
      <w:r w:rsidR="00621917" w:rsidRPr="00621917">
        <w:rPr>
          <w:color w:val="337AB7"/>
        </w:rPr>
        <w:t xml:space="preserve"> (TZP)</w:t>
      </w:r>
    </w:p>
    <w:p w:rsidR="005973B9" w:rsidRDefault="00621917" w:rsidP="00135BD4">
      <w:pPr>
        <w:pStyle w:val="a3"/>
        <w:spacing w:before="73" w:line="198" w:lineRule="exact"/>
        <w:ind w:left="100" w:right="5587"/>
        <w:rPr>
          <w:rFonts w:ascii="Arial"/>
        </w:rPr>
      </w:pPr>
      <w:r w:rsidRPr="00621917">
        <w:rPr>
          <w:rFonts w:ascii="Arial"/>
        </w:rPr>
        <w:t>Masao Yoshinari</w:t>
      </w:r>
      <w:r w:rsidR="005973B9">
        <w:rPr>
          <w:rFonts w:ascii="Arial"/>
        </w:rPr>
        <w:t xml:space="preserve">, PhD, </w:t>
      </w:r>
      <w:r w:rsidRPr="00621917">
        <w:rPr>
          <w:rFonts w:ascii="Arial"/>
        </w:rPr>
        <w:t xml:space="preserve">Tokyo Dental College, </w:t>
      </w:r>
      <w:r w:rsidR="00CC49CB">
        <w:rPr>
          <w:rFonts w:ascii="Arial" w:eastAsiaTheme="minorEastAsia" w:hint="eastAsia"/>
          <w:lang w:eastAsia="ja-JP"/>
        </w:rPr>
        <w:t>Tokyo</w:t>
      </w:r>
      <w:r w:rsidRPr="00621917">
        <w:rPr>
          <w:rFonts w:ascii="Arial"/>
        </w:rPr>
        <w:t xml:space="preserve">, </w:t>
      </w:r>
      <w:r w:rsidR="00135BD4">
        <w:rPr>
          <w:rFonts w:ascii="Arial" w:eastAsiaTheme="minorEastAsia" w:hint="eastAsia"/>
          <w:lang w:eastAsia="ja-JP"/>
        </w:rPr>
        <w:t>J</w:t>
      </w:r>
      <w:r w:rsidRPr="00621917">
        <w:rPr>
          <w:rFonts w:ascii="Arial"/>
        </w:rPr>
        <w:t>APAN</w:t>
      </w:r>
      <w:r w:rsidR="005973B9">
        <w:rPr>
          <w:rFonts w:ascii="Arial"/>
        </w:rPr>
        <w:t xml:space="preserve"> </w:t>
      </w:r>
    </w:p>
    <w:p w:rsidR="00AE3E37" w:rsidRDefault="00AE3E37">
      <w:pPr>
        <w:pStyle w:val="a3"/>
        <w:rPr>
          <w:rFonts w:ascii="Arial"/>
          <w:sz w:val="20"/>
        </w:rPr>
      </w:pPr>
      <w:bookmarkStart w:id="0" w:name="_GoBack"/>
      <w:bookmarkEnd w:id="0"/>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Default="00135BD4">
      <w:pPr>
        <w:pStyle w:val="a3"/>
        <w:spacing w:before="90" w:line="280" w:lineRule="auto"/>
        <w:ind w:left="100"/>
        <w:jc w:val="both"/>
      </w:pPr>
      <w:r w:rsidRPr="00135BD4">
        <w:t>Surface modification technologies are available for tetragonal zirconia polycrystal (TZP) to enhance its osseointegration</w:t>
      </w:r>
      <w:r w:rsidR="00C731EC">
        <w:rPr>
          <w:rFonts w:eastAsiaTheme="minorEastAsia" w:hint="eastAsia"/>
          <w:lang w:eastAsia="ja-JP"/>
        </w:rPr>
        <w:t xml:space="preserve"> and fibro-integration </w:t>
      </w:r>
      <w:r w:rsidRPr="00135BD4">
        <w:t>capability for biomedical fields. The surface wettability is one of the important factors in the process of osseointegration</w:t>
      </w:r>
      <w:r w:rsidR="00C731EC" w:rsidRPr="00C731EC">
        <w:t xml:space="preserve"> and fibro-integration</w:t>
      </w:r>
      <w:r w:rsidRPr="00135BD4">
        <w:t xml:space="preserve">, possibly regulating protein adsorption, and subsequent cell behavior. The aim of this study was to clarify the effect of topographical or physicochemical modification of TZP ceramics on wettability to determine the potential of such treatment in application to dental implants. Several types of surface topography were produced by alumina blasting and acid etching with hydrofluoric acid; surface physicochemistry was modified with oxygen (O2) plasma, ultraviolet (UV) </w:t>
      </w:r>
      <w:r w:rsidR="00C731EC">
        <w:rPr>
          <w:rFonts w:eastAsiaTheme="minorEastAsia"/>
          <w:lang w:eastAsia="ja-JP"/>
        </w:rPr>
        <w:t>irradiation</w:t>
      </w:r>
      <w:r w:rsidRPr="00135BD4">
        <w:t xml:space="preserve">, or hydrogen peroxide treatment. The obtained specimens were also subjected to storage under various conditions to evaluate their potential to maintain superhydrophilicity. The surface wettability was evaluated by measuring the contact angle against distilled water. The modified surfaces were also analyzed using an X-ray photoelectron spectroscopy (XPS). The results showed that surface modification of surface topography or physicochemistry, especially of blast/acid etching as well as O2 plasma and UV treatment, greatly increased the surface wettability, resulting in superhydrophilicity. XPS analyses revealed that a remarkable decrease in carbon content and the introduction of hydroxyl groups were responsible for the observed superhydrophilicity. Furthermore, superhydrophilicity was maintained, even after immersion in an aqueous solution. These results indicated that topographical and physicochemical modification with O2 plasma and UV treatment to TZP and subsequent immersion in aqueous solution is promising methods for creating superhydrophilicity, leading to important factors in osseointegration </w:t>
      </w:r>
      <w:r w:rsidR="00C731EC" w:rsidRPr="00C731EC">
        <w:t xml:space="preserve">and fibro-integration </w:t>
      </w:r>
      <w:r w:rsidRPr="00135BD4">
        <w:t>for dental implants.</w:t>
      </w:r>
    </w:p>
    <w:p w:rsidR="005973B9" w:rsidRDefault="00A9710C" w:rsidP="00CC49CB">
      <w:pPr>
        <w:pStyle w:val="3"/>
        <w:spacing w:before="74"/>
        <w:ind w:left="0"/>
        <w:rPr>
          <w:b w:val="0"/>
        </w:rPr>
      </w:pPr>
      <w:r>
        <w:rPr>
          <w:b w:val="0"/>
        </w:rPr>
        <w:br w:type="column"/>
      </w:r>
      <w:r w:rsidR="005973B9">
        <w:rPr>
          <w:color w:val="BF5A14"/>
        </w:rPr>
        <w:t>Recent Publications (minimum 5)</w:t>
      </w:r>
    </w:p>
    <w:p w:rsidR="005973B9" w:rsidRPr="003722CE" w:rsidRDefault="00A42F2F" w:rsidP="00A42F2F">
      <w:pPr>
        <w:pStyle w:val="a5"/>
        <w:numPr>
          <w:ilvl w:val="0"/>
          <w:numId w:val="3"/>
        </w:numPr>
        <w:tabs>
          <w:tab w:val="left" w:pos="384"/>
        </w:tabs>
        <w:spacing w:before="103" w:line="216" w:lineRule="exact"/>
        <w:ind w:right="138"/>
        <w:rPr>
          <w:sz w:val="18"/>
        </w:rPr>
      </w:pPr>
      <w:r w:rsidRPr="00A42F2F">
        <w:rPr>
          <w:sz w:val="18"/>
        </w:rPr>
        <w:t>Sakurai T, Yoshinari M, Toyama T, Hayakawa T, Ohkubo C</w:t>
      </w:r>
      <w:r>
        <w:rPr>
          <w:rFonts w:eastAsiaTheme="minorEastAsia" w:hint="eastAsia"/>
          <w:sz w:val="18"/>
          <w:lang w:eastAsia="ja-JP"/>
        </w:rPr>
        <w:t xml:space="preserve"> (</w:t>
      </w:r>
      <w:r w:rsidRPr="00A42F2F">
        <w:rPr>
          <w:sz w:val="18"/>
        </w:rPr>
        <w:t>2016</w:t>
      </w:r>
      <w:r>
        <w:rPr>
          <w:rFonts w:eastAsiaTheme="minorEastAsia" w:hint="eastAsia"/>
          <w:sz w:val="18"/>
          <w:lang w:eastAsia="ja-JP"/>
        </w:rPr>
        <w:t>)</w:t>
      </w:r>
      <w:r w:rsidRPr="00A42F2F">
        <w:rPr>
          <w:sz w:val="18"/>
        </w:rPr>
        <w:tab/>
        <w:t>Effects of a multilayered DNA/protamine coating on titanium implants on bone responses</w:t>
      </w:r>
      <w:r>
        <w:rPr>
          <w:rFonts w:eastAsiaTheme="minorEastAsia" w:hint="eastAsia"/>
          <w:sz w:val="18"/>
          <w:lang w:eastAsia="ja-JP"/>
        </w:rPr>
        <w:t xml:space="preserve">. </w:t>
      </w:r>
      <w:r w:rsidRPr="00A42F2F">
        <w:rPr>
          <w:sz w:val="18"/>
        </w:rPr>
        <w:t>J Biomed Mater Res Part A 104A: 1500–1509</w:t>
      </w:r>
      <w:r>
        <w:rPr>
          <w:rFonts w:eastAsiaTheme="minorEastAsia" w:hint="eastAsia"/>
          <w:sz w:val="18"/>
          <w:lang w:eastAsia="ja-JP"/>
        </w:rPr>
        <w:t>.</w:t>
      </w:r>
      <w:r w:rsidRPr="00A42F2F">
        <w:rPr>
          <w:sz w:val="18"/>
        </w:rPr>
        <w:t xml:space="preserve"> </w:t>
      </w:r>
    </w:p>
    <w:p w:rsidR="005973B9" w:rsidRPr="003722CE" w:rsidRDefault="003722CE" w:rsidP="003722CE">
      <w:pPr>
        <w:pStyle w:val="a5"/>
        <w:numPr>
          <w:ilvl w:val="0"/>
          <w:numId w:val="3"/>
        </w:numPr>
        <w:tabs>
          <w:tab w:val="left" w:pos="384"/>
        </w:tabs>
        <w:spacing w:before="92" w:line="218" w:lineRule="exact"/>
      </w:pPr>
      <w:proofErr w:type="spellStart"/>
      <w:r w:rsidRPr="003722CE">
        <w:rPr>
          <w:sz w:val="18"/>
        </w:rPr>
        <w:t>Kobune</w:t>
      </w:r>
      <w:proofErr w:type="spellEnd"/>
      <w:r w:rsidRPr="003722CE">
        <w:rPr>
          <w:sz w:val="18"/>
        </w:rPr>
        <w:t xml:space="preserve"> K, Miura T, Sato T, </w:t>
      </w:r>
      <w:proofErr w:type="spellStart"/>
      <w:r w:rsidRPr="003722CE">
        <w:rPr>
          <w:sz w:val="18"/>
        </w:rPr>
        <w:t>Yotsuya</w:t>
      </w:r>
      <w:proofErr w:type="spellEnd"/>
      <w:r w:rsidRPr="003722CE">
        <w:rPr>
          <w:sz w:val="18"/>
        </w:rPr>
        <w:t xml:space="preserve"> M, Yoshinari M</w:t>
      </w:r>
      <w:r>
        <w:rPr>
          <w:rFonts w:eastAsiaTheme="minorEastAsia" w:hint="eastAsia"/>
          <w:sz w:val="18"/>
          <w:lang w:eastAsia="ja-JP"/>
        </w:rPr>
        <w:t xml:space="preserve"> (</w:t>
      </w:r>
      <w:r w:rsidRPr="003722CE">
        <w:rPr>
          <w:sz w:val="18"/>
        </w:rPr>
        <w:t>2014</w:t>
      </w:r>
      <w:r>
        <w:rPr>
          <w:rFonts w:eastAsiaTheme="minorEastAsia" w:hint="eastAsia"/>
          <w:sz w:val="18"/>
          <w:lang w:eastAsia="ja-JP"/>
        </w:rPr>
        <w:t xml:space="preserve">) </w:t>
      </w:r>
      <w:r w:rsidRPr="003722CE">
        <w:rPr>
          <w:sz w:val="18"/>
        </w:rPr>
        <w:t xml:space="preserve"> Influence of plasma and ultraviolet treatment of zirconia on initial attachment of human oral keratinocytes: Expressions of laminin </w:t>
      </w:r>
      <w:r w:rsidRPr="003722CE">
        <w:rPr>
          <w:rFonts w:ascii="Arial" w:hAnsi="Arial" w:cs="Arial"/>
          <w:sz w:val="18"/>
        </w:rPr>
        <w:t>γ</w:t>
      </w:r>
      <w:r w:rsidRPr="003722CE">
        <w:rPr>
          <w:sz w:val="18"/>
        </w:rPr>
        <w:t xml:space="preserve">2 and integrin </w:t>
      </w:r>
      <w:r w:rsidRPr="003722CE">
        <w:rPr>
          <w:rFonts w:ascii="Arial" w:hAnsi="Arial" w:cs="Arial"/>
          <w:sz w:val="18"/>
        </w:rPr>
        <w:t>β</w:t>
      </w:r>
      <w:r w:rsidRPr="003722CE">
        <w:rPr>
          <w:sz w:val="18"/>
        </w:rPr>
        <w:t>4</w:t>
      </w:r>
      <w:r w:rsidRPr="003722CE">
        <w:rPr>
          <w:rFonts w:eastAsiaTheme="minorEastAsia" w:hint="eastAsia"/>
          <w:sz w:val="18"/>
          <w:lang w:eastAsia="ja-JP"/>
        </w:rPr>
        <w:t xml:space="preserve">. </w:t>
      </w:r>
      <w:r w:rsidRPr="003722CE">
        <w:rPr>
          <w:sz w:val="18"/>
        </w:rPr>
        <w:t>Dental Materials Journal 33: 696–704</w:t>
      </w:r>
      <w:r w:rsidR="005973B9" w:rsidRPr="005973B9">
        <w:t>.</w:t>
      </w:r>
    </w:p>
    <w:p w:rsidR="003722CE" w:rsidRPr="003722CE" w:rsidRDefault="003722CE" w:rsidP="003722CE">
      <w:pPr>
        <w:pStyle w:val="a5"/>
        <w:numPr>
          <w:ilvl w:val="0"/>
          <w:numId w:val="3"/>
        </w:numPr>
        <w:rPr>
          <w:sz w:val="18"/>
          <w:szCs w:val="18"/>
        </w:rPr>
      </w:pPr>
      <w:r w:rsidRPr="003722CE">
        <w:rPr>
          <w:sz w:val="18"/>
          <w:szCs w:val="18"/>
        </w:rPr>
        <w:t xml:space="preserve">Katayama A, </w:t>
      </w:r>
      <w:proofErr w:type="spellStart"/>
      <w:r w:rsidRPr="003722CE">
        <w:rPr>
          <w:sz w:val="18"/>
          <w:szCs w:val="18"/>
        </w:rPr>
        <w:t>Arano</w:t>
      </w:r>
      <w:proofErr w:type="spellEnd"/>
      <w:r w:rsidRPr="003722CE">
        <w:rPr>
          <w:sz w:val="18"/>
          <w:szCs w:val="18"/>
        </w:rPr>
        <w:t xml:space="preserve"> T, Sato T, </w:t>
      </w:r>
      <w:proofErr w:type="spellStart"/>
      <w:r w:rsidRPr="003722CE">
        <w:rPr>
          <w:sz w:val="18"/>
          <w:szCs w:val="18"/>
        </w:rPr>
        <w:t>Ikada</w:t>
      </w:r>
      <w:proofErr w:type="spellEnd"/>
      <w:r w:rsidRPr="003722CE">
        <w:rPr>
          <w:sz w:val="18"/>
          <w:szCs w:val="18"/>
        </w:rPr>
        <w:t xml:space="preserve"> Y, Yoshinari M</w:t>
      </w:r>
      <w:r w:rsidR="00A42F2F">
        <w:rPr>
          <w:rFonts w:eastAsiaTheme="minorEastAsia" w:hint="eastAsia"/>
          <w:sz w:val="18"/>
          <w:szCs w:val="18"/>
          <w:lang w:eastAsia="ja-JP"/>
        </w:rPr>
        <w:t xml:space="preserve"> (</w:t>
      </w:r>
      <w:r w:rsidR="00A42F2F" w:rsidRPr="003722CE">
        <w:rPr>
          <w:sz w:val="18"/>
          <w:szCs w:val="18"/>
        </w:rPr>
        <w:t>2013</w:t>
      </w:r>
      <w:r w:rsidR="00A42F2F">
        <w:rPr>
          <w:rFonts w:eastAsiaTheme="minorEastAsia" w:hint="eastAsia"/>
          <w:sz w:val="18"/>
          <w:szCs w:val="18"/>
          <w:lang w:eastAsia="ja-JP"/>
        </w:rPr>
        <w:t>)</w:t>
      </w:r>
      <w:r w:rsidRPr="003722CE">
        <w:rPr>
          <w:sz w:val="18"/>
          <w:szCs w:val="18"/>
        </w:rPr>
        <w:t xml:space="preserve"> Radial-flow bioreactor enables uniform proliferation of human mesenchymal stem cells throughout a three-dimensional scaffold. Tissue </w:t>
      </w:r>
      <w:proofErr w:type="spellStart"/>
      <w:r w:rsidRPr="003722CE">
        <w:rPr>
          <w:sz w:val="18"/>
          <w:szCs w:val="18"/>
        </w:rPr>
        <w:t>Eng</w:t>
      </w:r>
      <w:proofErr w:type="spellEnd"/>
      <w:r w:rsidRPr="003722CE">
        <w:rPr>
          <w:sz w:val="18"/>
          <w:szCs w:val="18"/>
        </w:rPr>
        <w:t xml:space="preserve"> Part C 19:109-116</w:t>
      </w:r>
      <w:r w:rsidR="00A42F2F">
        <w:rPr>
          <w:rFonts w:eastAsiaTheme="minorEastAsia" w:hint="eastAsia"/>
          <w:sz w:val="18"/>
          <w:szCs w:val="18"/>
          <w:lang w:eastAsia="ja-JP"/>
        </w:rPr>
        <w:t>.</w:t>
      </w:r>
      <w:r w:rsidRPr="003722CE">
        <w:rPr>
          <w:sz w:val="18"/>
          <w:szCs w:val="18"/>
        </w:rPr>
        <w:t xml:space="preserve"> </w:t>
      </w:r>
    </w:p>
    <w:p w:rsidR="003722CE" w:rsidRPr="00A42F2F" w:rsidRDefault="00A42F2F" w:rsidP="00A42F2F">
      <w:pPr>
        <w:pStyle w:val="a5"/>
        <w:numPr>
          <w:ilvl w:val="0"/>
          <w:numId w:val="3"/>
        </w:numPr>
        <w:tabs>
          <w:tab w:val="left" w:pos="384"/>
        </w:tabs>
        <w:spacing w:before="92" w:line="218" w:lineRule="exact"/>
        <w:rPr>
          <w:sz w:val="18"/>
          <w:szCs w:val="18"/>
        </w:rPr>
      </w:pPr>
      <w:r w:rsidRPr="00A42F2F">
        <w:rPr>
          <w:sz w:val="18"/>
          <w:szCs w:val="18"/>
        </w:rPr>
        <w:t xml:space="preserve">Hayakawa T, Yoshida E, Yoshimura Y, </w:t>
      </w:r>
      <w:proofErr w:type="spellStart"/>
      <w:r w:rsidRPr="00A42F2F">
        <w:rPr>
          <w:sz w:val="18"/>
          <w:szCs w:val="18"/>
        </w:rPr>
        <w:t>Uo</w:t>
      </w:r>
      <w:proofErr w:type="spellEnd"/>
      <w:r w:rsidRPr="00A42F2F">
        <w:rPr>
          <w:sz w:val="18"/>
          <w:szCs w:val="18"/>
        </w:rPr>
        <w:t xml:space="preserve"> M, Yoshinari M</w:t>
      </w:r>
      <w:r w:rsidRPr="00A42F2F">
        <w:rPr>
          <w:rFonts w:eastAsiaTheme="minorEastAsia" w:hint="eastAsia"/>
          <w:sz w:val="18"/>
          <w:szCs w:val="18"/>
          <w:lang w:eastAsia="ja-JP"/>
        </w:rPr>
        <w:t xml:space="preserve"> (</w:t>
      </w:r>
      <w:r w:rsidRPr="00A42F2F">
        <w:rPr>
          <w:sz w:val="18"/>
          <w:szCs w:val="18"/>
        </w:rPr>
        <w:t>2012</w:t>
      </w:r>
      <w:r w:rsidRPr="00A42F2F">
        <w:rPr>
          <w:rFonts w:eastAsiaTheme="minorEastAsia" w:hint="eastAsia"/>
          <w:sz w:val="18"/>
          <w:szCs w:val="18"/>
          <w:lang w:eastAsia="ja-JP"/>
        </w:rPr>
        <w:t xml:space="preserve">) </w:t>
      </w:r>
      <w:r w:rsidRPr="00A42F2F">
        <w:rPr>
          <w:sz w:val="18"/>
          <w:szCs w:val="18"/>
        </w:rPr>
        <w:t xml:space="preserve">MC3T3-E1 cells on titanium surfaces with nanometer smoothness and fibronectin immobilization. </w:t>
      </w:r>
      <w:proofErr w:type="spellStart"/>
      <w:r w:rsidRPr="00A42F2F">
        <w:rPr>
          <w:sz w:val="18"/>
          <w:szCs w:val="18"/>
        </w:rPr>
        <w:t>Int</w:t>
      </w:r>
      <w:proofErr w:type="spellEnd"/>
      <w:r w:rsidRPr="00A42F2F">
        <w:rPr>
          <w:sz w:val="18"/>
          <w:szCs w:val="18"/>
        </w:rPr>
        <w:t xml:space="preserve"> J </w:t>
      </w:r>
      <w:proofErr w:type="spellStart"/>
      <w:r w:rsidRPr="00A42F2F">
        <w:rPr>
          <w:sz w:val="18"/>
          <w:szCs w:val="18"/>
        </w:rPr>
        <w:t>Biomater</w:t>
      </w:r>
      <w:proofErr w:type="spellEnd"/>
      <w:r w:rsidRPr="00A42F2F">
        <w:rPr>
          <w:sz w:val="18"/>
          <w:szCs w:val="18"/>
        </w:rPr>
        <w:t xml:space="preserve">, 743465. </w:t>
      </w:r>
      <w:proofErr w:type="spellStart"/>
      <w:proofErr w:type="gramStart"/>
      <w:r w:rsidRPr="00A42F2F">
        <w:rPr>
          <w:sz w:val="18"/>
          <w:szCs w:val="18"/>
        </w:rPr>
        <w:t>doi</w:t>
      </w:r>
      <w:proofErr w:type="spellEnd"/>
      <w:proofErr w:type="gramEnd"/>
      <w:r w:rsidRPr="00A42F2F">
        <w:rPr>
          <w:sz w:val="18"/>
          <w:szCs w:val="18"/>
        </w:rPr>
        <w:t xml:space="preserve">: 10.1155/2012/743465. </w:t>
      </w:r>
    </w:p>
    <w:p w:rsidR="00A42F2F" w:rsidRPr="00A42F2F" w:rsidRDefault="00A42F2F" w:rsidP="00A42F2F">
      <w:pPr>
        <w:pStyle w:val="a5"/>
        <w:numPr>
          <w:ilvl w:val="0"/>
          <w:numId w:val="3"/>
        </w:numPr>
        <w:tabs>
          <w:tab w:val="left" w:pos="384"/>
        </w:tabs>
        <w:spacing w:before="92" w:line="218" w:lineRule="exact"/>
        <w:rPr>
          <w:sz w:val="18"/>
          <w:szCs w:val="18"/>
        </w:rPr>
      </w:pPr>
      <w:r w:rsidRPr="00A42F2F">
        <w:rPr>
          <w:sz w:val="18"/>
          <w:szCs w:val="18"/>
        </w:rPr>
        <w:t xml:space="preserve">Takano T, </w:t>
      </w:r>
      <w:proofErr w:type="spellStart"/>
      <w:r w:rsidRPr="00A42F2F">
        <w:rPr>
          <w:sz w:val="18"/>
          <w:szCs w:val="18"/>
        </w:rPr>
        <w:t>Tasaka</w:t>
      </w:r>
      <w:proofErr w:type="spellEnd"/>
      <w:r w:rsidRPr="00A42F2F">
        <w:rPr>
          <w:sz w:val="18"/>
          <w:szCs w:val="18"/>
        </w:rPr>
        <w:t xml:space="preserve"> A, Yoshinari M, Sakurai K</w:t>
      </w:r>
      <w:r>
        <w:rPr>
          <w:rFonts w:eastAsiaTheme="minorEastAsia" w:hint="eastAsia"/>
          <w:sz w:val="18"/>
          <w:szCs w:val="18"/>
          <w:lang w:eastAsia="ja-JP"/>
        </w:rPr>
        <w:t xml:space="preserve"> (</w:t>
      </w:r>
      <w:r w:rsidRPr="00A42F2F">
        <w:rPr>
          <w:sz w:val="18"/>
          <w:szCs w:val="18"/>
        </w:rPr>
        <w:t>2012</w:t>
      </w:r>
      <w:r>
        <w:rPr>
          <w:rFonts w:eastAsiaTheme="minorEastAsia" w:hint="eastAsia"/>
          <w:sz w:val="18"/>
          <w:szCs w:val="18"/>
          <w:lang w:eastAsia="ja-JP"/>
        </w:rPr>
        <w:t>)</w:t>
      </w:r>
      <w:r w:rsidRPr="00A42F2F">
        <w:rPr>
          <w:sz w:val="18"/>
          <w:szCs w:val="18"/>
        </w:rPr>
        <w:t xml:space="preserve"> Fatigue strength of Ce-TZP/Al2O3 nanocomposite with different surfaces. J Dent Res</w:t>
      </w:r>
      <w:r>
        <w:rPr>
          <w:rFonts w:eastAsiaTheme="minorEastAsia" w:hint="eastAsia"/>
          <w:sz w:val="18"/>
          <w:szCs w:val="18"/>
          <w:lang w:eastAsia="ja-JP"/>
        </w:rPr>
        <w:t xml:space="preserve"> </w:t>
      </w:r>
      <w:r w:rsidRPr="00A42F2F">
        <w:rPr>
          <w:sz w:val="18"/>
          <w:szCs w:val="18"/>
        </w:rPr>
        <w:t>91:800-804</w:t>
      </w:r>
      <w:r>
        <w:rPr>
          <w:rFonts w:eastAsiaTheme="minorEastAsia" w:hint="eastAsia"/>
          <w:sz w:val="18"/>
          <w:szCs w:val="18"/>
          <w:lang w:eastAsia="ja-JP"/>
        </w:rPr>
        <w:t>.</w:t>
      </w:r>
    </w:p>
    <w:p w:rsidR="005973B9" w:rsidRDefault="003722CE" w:rsidP="00A42F2F">
      <w:pPr>
        <w:pStyle w:val="a3"/>
        <w:numPr>
          <w:ilvl w:val="0"/>
          <w:numId w:val="3"/>
        </w:numPr>
        <w:spacing w:before="85" w:line="216" w:lineRule="exact"/>
        <w:ind w:right="138"/>
        <w:jc w:val="both"/>
        <w:rPr>
          <w:rFonts w:ascii="Calibri" w:eastAsiaTheme="minorEastAsia" w:hAnsi="Calibri"/>
          <w:lang w:eastAsia="ja-JP"/>
        </w:rPr>
      </w:pPr>
      <w:r w:rsidRPr="003722CE">
        <w:rPr>
          <w:rFonts w:ascii="Calibri" w:hAnsi="Calibri"/>
        </w:rPr>
        <w:t>Yoshinari M, Matsuzaka K, Inoue, T</w:t>
      </w:r>
      <w:r>
        <w:rPr>
          <w:rFonts w:ascii="Calibri" w:eastAsiaTheme="minorEastAsia" w:hAnsi="Calibri" w:hint="eastAsia"/>
          <w:lang w:eastAsia="ja-JP"/>
        </w:rPr>
        <w:t xml:space="preserve"> (</w:t>
      </w:r>
      <w:r w:rsidRPr="003722CE">
        <w:rPr>
          <w:rFonts w:ascii="Calibri" w:hAnsi="Calibri"/>
        </w:rPr>
        <w:t>2011</w:t>
      </w:r>
      <w:r>
        <w:rPr>
          <w:rFonts w:ascii="Calibri" w:eastAsiaTheme="minorEastAsia" w:hAnsi="Calibri" w:hint="eastAsia"/>
          <w:lang w:eastAsia="ja-JP"/>
        </w:rPr>
        <w:t>) S</w:t>
      </w:r>
      <w:r w:rsidRPr="003722CE">
        <w:rPr>
          <w:rFonts w:ascii="Calibri" w:hAnsi="Calibri"/>
        </w:rPr>
        <w:t>urface modification by cold-plasma technique for dental implants -Bio-functionalization with binding pharmaceuticals-, Japanese De</w:t>
      </w:r>
      <w:r>
        <w:rPr>
          <w:rFonts w:ascii="Calibri" w:hAnsi="Calibri"/>
        </w:rPr>
        <w:t>ntal Science Review 47</w:t>
      </w:r>
      <w:r>
        <w:rPr>
          <w:rFonts w:ascii="Calibri" w:eastAsiaTheme="minorEastAsia" w:hAnsi="Calibri" w:hint="eastAsia"/>
          <w:lang w:eastAsia="ja-JP"/>
        </w:rPr>
        <w:t>:</w:t>
      </w:r>
      <w:r>
        <w:rPr>
          <w:rFonts w:ascii="Calibri" w:hAnsi="Calibri"/>
        </w:rPr>
        <w:t xml:space="preserve"> 89-101</w:t>
      </w:r>
      <w:r w:rsidR="005973B9">
        <w:rPr>
          <w:rFonts w:ascii="Calibri" w:hAnsi="Calibri"/>
        </w:rPr>
        <w:t>.</w:t>
      </w:r>
    </w:p>
    <w:p w:rsidR="00A42F2F" w:rsidRPr="00A42F2F" w:rsidRDefault="00A42F2F" w:rsidP="00A42F2F">
      <w:pPr>
        <w:pStyle w:val="a3"/>
        <w:numPr>
          <w:ilvl w:val="0"/>
          <w:numId w:val="3"/>
        </w:numPr>
        <w:spacing w:before="85" w:line="216" w:lineRule="exact"/>
        <w:ind w:right="138"/>
        <w:jc w:val="both"/>
        <w:rPr>
          <w:rFonts w:ascii="Calibri" w:eastAsiaTheme="minorEastAsia" w:hAnsi="Calibri"/>
          <w:lang w:eastAsia="ja-JP"/>
        </w:rPr>
      </w:pPr>
      <w:r w:rsidRPr="00A42F2F">
        <w:rPr>
          <w:rFonts w:ascii="Calibri" w:eastAsiaTheme="minorEastAsia" w:hAnsi="Calibri"/>
          <w:lang w:eastAsia="ja-JP"/>
        </w:rPr>
        <w:t xml:space="preserve">Yoshinari M, Kato T, Matsuzaka K, Hayakawa T, </w:t>
      </w:r>
      <w:proofErr w:type="spellStart"/>
      <w:r w:rsidRPr="00A42F2F">
        <w:rPr>
          <w:rFonts w:ascii="Calibri" w:eastAsiaTheme="minorEastAsia" w:hAnsi="Calibri"/>
          <w:lang w:eastAsia="ja-JP"/>
        </w:rPr>
        <w:t>Shiba</w:t>
      </w:r>
      <w:proofErr w:type="spellEnd"/>
      <w:r w:rsidRPr="00A42F2F">
        <w:rPr>
          <w:rFonts w:ascii="Calibri" w:eastAsiaTheme="minorEastAsia" w:hAnsi="Calibri"/>
          <w:lang w:eastAsia="ja-JP"/>
        </w:rPr>
        <w:t xml:space="preserve"> K</w:t>
      </w:r>
      <w:r w:rsidRPr="00A42F2F">
        <w:rPr>
          <w:rFonts w:ascii="Calibri" w:eastAsiaTheme="minorEastAsia" w:hAnsi="Calibri" w:hint="eastAsia"/>
          <w:lang w:eastAsia="ja-JP"/>
        </w:rPr>
        <w:t xml:space="preserve"> (</w:t>
      </w:r>
      <w:r w:rsidRPr="00A42F2F">
        <w:rPr>
          <w:rFonts w:ascii="Calibri" w:eastAsiaTheme="minorEastAsia" w:hAnsi="Calibri"/>
          <w:lang w:eastAsia="ja-JP"/>
        </w:rPr>
        <w:t>2010</w:t>
      </w:r>
      <w:r w:rsidRPr="00A42F2F">
        <w:rPr>
          <w:rFonts w:ascii="Calibri" w:eastAsiaTheme="minorEastAsia" w:hAnsi="Calibri" w:hint="eastAsia"/>
          <w:lang w:eastAsia="ja-JP"/>
        </w:rPr>
        <w:t xml:space="preserve">) </w:t>
      </w:r>
      <w:r w:rsidRPr="00A42F2F">
        <w:rPr>
          <w:rFonts w:ascii="Calibri" w:eastAsiaTheme="minorEastAsia" w:hAnsi="Calibri"/>
          <w:lang w:eastAsia="ja-JP"/>
        </w:rPr>
        <w:t>Prevention of biofilm formation on titanium surfaces modified with conjugated molecules comprised of antimicrobial and titanium-binding peptides</w:t>
      </w:r>
      <w:r>
        <w:rPr>
          <w:rFonts w:ascii="Calibri" w:eastAsiaTheme="minorEastAsia" w:hAnsi="Calibri" w:hint="eastAsia"/>
          <w:lang w:eastAsia="ja-JP"/>
        </w:rPr>
        <w:t xml:space="preserve">. </w:t>
      </w:r>
      <w:r w:rsidRPr="00A42F2F">
        <w:rPr>
          <w:rFonts w:ascii="Calibri" w:eastAsiaTheme="minorEastAsia" w:hAnsi="Calibri"/>
          <w:lang w:eastAsia="ja-JP"/>
        </w:rPr>
        <w:t>Biofouling 26: 103–110</w:t>
      </w:r>
      <w:r>
        <w:rPr>
          <w:rFonts w:ascii="Calibri" w:eastAsiaTheme="minorEastAsia" w:hAnsi="Calibri" w:hint="eastAsia"/>
          <w:lang w:eastAsia="ja-JP"/>
        </w:rPr>
        <w:t>.</w:t>
      </w:r>
      <w:r w:rsidRPr="00A42F2F">
        <w:rPr>
          <w:rFonts w:ascii="Calibri" w:eastAsiaTheme="minorEastAsia" w:hAnsi="Calibri"/>
          <w:lang w:eastAsia="ja-JP"/>
        </w:rPr>
        <w:t xml:space="preserve"> </w:t>
      </w:r>
    </w:p>
    <w:p w:rsidR="00A42F2F" w:rsidRPr="00A42F2F" w:rsidRDefault="00A42F2F" w:rsidP="003722CE">
      <w:pPr>
        <w:pStyle w:val="a3"/>
        <w:spacing w:before="85" w:line="216" w:lineRule="exact"/>
        <w:ind w:left="383" w:right="138" w:hanging="284"/>
        <w:jc w:val="both"/>
        <w:rPr>
          <w:rFonts w:ascii="Calibri" w:eastAsiaTheme="minorEastAsia" w:hAnsi="Calibri"/>
          <w:lang w:eastAsia="ja-JP"/>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81583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ja-JP"/>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135BD4">
      <w:pPr>
        <w:spacing w:before="41" w:line="154" w:lineRule="exact"/>
        <w:ind w:left="213" w:right="231"/>
        <w:jc w:val="both"/>
        <w:rPr>
          <w:rFonts w:ascii="Arial"/>
          <w:sz w:val="14"/>
        </w:rPr>
      </w:pPr>
      <w:r w:rsidRPr="00135BD4">
        <w:rPr>
          <w:rFonts w:ascii="Arial"/>
          <w:sz w:val="14"/>
        </w:rPr>
        <w:t xml:space="preserve">Prof. Masao Yoshinari earned his Ph.D. in Dental Materials Science in 1986 from Tokyo Dental College. He is the director of Division of Oral Implants Research, Oral Health Science Center, </w:t>
      </w:r>
      <w:proofErr w:type="gramStart"/>
      <w:r w:rsidRPr="00135BD4">
        <w:rPr>
          <w:rFonts w:ascii="Arial"/>
          <w:sz w:val="14"/>
        </w:rPr>
        <w:t>Tokyo</w:t>
      </w:r>
      <w:proofErr w:type="gramEnd"/>
      <w:r w:rsidRPr="00135BD4">
        <w:rPr>
          <w:rFonts w:ascii="Arial"/>
          <w:sz w:val="14"/>
        </w:rPr>
        <w:t xml:space="preserve"> Dental College. He has published more than </w:t>
      </w:r>
      <w:r w:rsidR="00E14B12">
        <w:rPr>
          <w:rFonts w:ascii="Arial" w:eastAsiaTheme="minorEastAsia" w:hint="eastAsia"/>
          <w:sz w:val="14"/>
          <w:lang w:eastAsia="ja-JP"/>
        </w:rPr>
        <w:t>2</w:t>
      </w:r>
      <w:r w:rsidRPr="00135BD4">
        <w:rPr>
          <w:rFonts w:ascii="Arial"/>
          <w:sz w:val="14"/>
        </w:rPr>
        <w:t>00 articles in reputed journals and book chapters including surface modifications of titanium for implant use, fatigue properties of ceramics, and corrosion characteristics of dental alloys.</w:t>
      </w:r>
    </w:p>
    <w:p w:rsidR="00AE3E37" w:rsidRDefault="00A9710C" w:rsidP="003D5CD3">
      <w:pPr>
        <w:spacing w:before="62"/>
        <w:ind w:left="4217" w:right="4235"/>
        <w:jc w:val="center"/>
        <w:rPr>
          <w:rFonts w:ascii="Arial"/>
          <w:sz w:val="19"/>
        </w:rPr>
      </w:pPr>
      <w:r>
        <w:rPr>
          <w:rFonts w:ascii="Arial"/>
          <w:sz w:val="14"/>
        </w:rPr>
        <w:t xml:space="preserve">Email: </w:t>
      </w:r>
      <w:hyperlink r:id="rId10" w:history="1">
        <w:r w:rsidR="00581372" w:rsidRPr="00892D73">
          <w:rPr>
            <w:rStyle w:val="ac"/>
            <w:rFonts w:ascii="Arial" w:eastAsiaTheme="minorEastAsia" w:hint="eastAsia"/>
            <w:sz w:val="14"/>
            <w:lang w:eastAsia="ja-JP"/>
          </w:rPr>
          <w:t>yosinari</w:t>
        </w:r>
        <w:r w:rsidR="00581372" w:rsidRPr="00892D73">
          <w:rPr>
            <w:rStyle w:val="ac"/>
            <w:rFonts w:ascii="Arial"/>
            <w:sz w:val="14"/>
          </w:rPr>
          <w:t>@</w:t>
        </w:r>
        <w:r w:rsidR="00581372" w:rsidRPr="00892D73">
          <w:rPr>
            <w:rStyle w:val="ac"/>
            <w:rFonts w:ascii="Arial" w:eastAsiaTheme="minorEastAsia" w:hint="eastAsia"/>
            <w:sz w:val="14"/>
            <w:lang w:eastAsia="ja-JP"/>
          </w:rPr>
          <w:t>tdc.ac.jp</w:t>
        </w:r>
      </w:hyperlink>
      <w:r w:rsidR="00292ED9">
        <w:rPr>
          <w:noProof/>
          <w:lang w:eastAsia="ja-JP"/>
        </w:rPr>
        <mc:AlternateContent>
          <mc:Choice Requires="wps">
            <w:drawing>
              <wp:anchor distT="0" distB="0" distL="0" distR="0" simplePos="0" relativeHeight="1072" behindDoc="0" locked="0" layoutInCell="1" allowOverlap="1" wp14:anchorId="68B1439D" wp14:editId="737BBDD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689550"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42D5" w:rsidRDefault="006842D5">
      <w:r>
        <w:separator/>
      </w:r>
    </w:p>
  </w:endnote>
  <w:endnote w:type="continuationSeparator" w:id="0">
    <w:p w:rsidR="006842D5" w:rsidRDefault="00684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42D5" w:rsidRDefault="006842D5">
      <w:r>
        <w:separator/>
      </w:r>
    </w:p>
  </w:footnote>
  <w:footnote w:type="continuationSeparator" w:id="0">
    <w:p w:rsidR="006842D5" w:rsidRDefault="006842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1A14"/>
    <w:rsid w:val="000E2911"/>
    <w:rsid w:val="001263DF"/>
    <w:rsid w:val="00135BD4"/>
    <w:rsid w:val="00291409"/>
    <w:rsid w:val="00292ED9"/>
    <w:rsid w:val="003722CE"/>
    <w:rsid w:val="003D5CD3"/>
    <w:rsid w:val="00404E5B"/>
    <w:rsid w:val="00414F7B"/>
    <w:rsid w:val="004355DC"/>
    <w:rsid w:val="004749B4"/>
    <w:rsid w:val="00494130"/>
    <w:rsid w:val="004F3523"/>
    <w:rsid w:val="00556556"/>
    <w:rsid w:val="00581372"/>
    <w:rsid w:val="005973B9"/>
    <w:rsid w:val="00597ED7"/>
    <w:rsid w:val="005B3A56"/>
    <w:rsid w:val="006060CE"/>
    <w:rsid w:val="00621917"/>
    <w:rsid w:val="0063497F"/>
    <w:rsid w:val="006842D5"/>
    <w:rsid w:val="006C42A1"/>
    <w:rsid w:val="007E11BE"/>
    <w:rsid w:val="008439F0"/>
    <w:rsid w:val="00873DF0"/>
    <w:rsid w:val="008756E6"/>
    <w:rsid w:val="008840AC"/>
    <w:rsid w:val="009B2D44"/>
    <w:rsid w:val="00A07E82"/>
    <w:rsid w:val="00A42F2F"/>
    <w:rsid w:val="00A9710C"/>
    <w:rsid w:val="00AE3E37"/>
    <w:rsid w:val="00AF1B2D"/>
    <w:rsid w:val="00B21A57"/>
    <w:rsid w:val="00BE5C9A"/>
    <w:rsid w:val="00C33602"/>
    <w:rsid w:val="00C731EC"/>
    <w:rsid w:val="00C87208"/>
    <w:rsid w:val="00CC49CB"/>
    <w:rsid w:val="00CD6F55"/>
    <w:rsid w:val="00DE3104"/>
    <w:rsid w:val="00E14B1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2BC9DC06-CD53-41DA-AFF7-56E2198E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yosinari@tdc.ac.jp"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1</Pages>
  <Words>619</Words>
  <Characters>3530</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吉成正雄</cp:lastModifiedBy>
  <cp:revision>13</cp:revision>
  <dcterms:created xsi:type="dcterms:W3CDTF">2017-11-29T04:35:00Z</dcterms:created>
  <dcterms:modified xsi:type="dcterms:W3CDTF">2017-12-21T01:23:00Z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