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926E4" w14:textId="77777777" w:rsidR="00AE3E37" w:rsidRDefault="00172732" w:rsidP="000534A1">
      <w:pPr>
        <w:pStyle w:val="Heading1"/>
        <w:spacing w:before="170"/>
        <w:ind w:left="0"/>
        <w:jc w:val="both"/>
      </w:pPr>
      <w:r w:rsidRPr="00172732">
        <w:rPr>
          <w:color w:val="337AB7"/>
        </w:rPr>
        <w:t>Improving energy storage performance of polymer</w:t>
      </w:r>
      <w:r>
        <w:rPr>
          <w:color w:val="337AB7"/>
        </w:rPr>
        <w:t>s</w:t>
      </w:r>
      <w:r w:rsidRPr="00172732">
        <w:rPr>
          <w:color w:val="337AB7"/>
        </w:rPr>
        <w:t xml:space="preserve"> </w:t>
      </w:r>
      <w:r>
        <w:rPr>
          <w:color w:val="337AB7"/>
        </w:rPr>
        <w:t xml:space="preserve">using </w:t>
      </w:r>
      <w:r w:rsidRPr="00172732">
        <w:rPr>
          <w:color w:val="337AB7"/>
        </w:rPr>
        <w:t>small molecules</w:t>
      </w:r>
    </w:p>
    <w:p w14:paraId="3DC5EDDE" w14:textId="77777777" w:rsidR="00AE3E37" w:rsidRDefault="00172732" w:rsidP="00172732">
      <w:pPr>
        <w:pStyle w:val="BodyText"/>
        <w:spacing w:before="73" w:line="198" w:lineRule="exact"/>
        <w:ind w:left="100" w:right="250"/>
        <w:rPr>
          <w:rFonts w:ascii="Arial"/>
        </w:rPr>
      </w:pPr>
      <w:r>
        <w:rPr>
          <w:rFonts w:ascii="Arial"/>
        </w:rPr>
        <w:t>Jindong Wei and Z.-Y. Cheng</w:t>
      </w:r>
      <w:r w:rsidR="005973B9">
        <w:rPr>
          <w:rFonts w:ascii="Arial"/>
        </w:rPr>
        <w:t xml:space="preserve">, </w:t>
      </w:r>
      <w:r w:rsidRPr="00172732">
        <w:rPr>
          <w:rFonts w:ascii="Arial"/>
        </w:rPr>
        <w:t>Materials Research and Education Center, Auburn University, Auburn, AL 36849-5341, USA</w:t>
      </w:r>
    </w:p>
    <w:p w14:paraId="6D432CD8" w14:textId="77777777" w:rsidR="00172732" w:rsidRPr="00172732" w:rsidRDefault="00172732" w:rsidP="00172732">
      <w:pPr>
        <w:pStyle w:val="BodyText"/>
        <w:spacing w:before="73" w:line="198" w:lineRule="exact"/>
        <w:ind w:left="100" w:right="5987"/>
        <w:rPr>
          <w:rFonts w:ascii="Arial"/>
        </w:rPr>
      </w:pPr>
    </w:p>
    <w:p w14:paraId="451C5A72"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BC6AA8B" w14:textId="39211A52" w:rsidR="00AE3E37" w:rsidRDefault="00A9710C">
      <w:pPr>
        <w:pStyle w:val="Heading3"/>
        <w:spacing w:before="147"/>
        <w:jc w:val="both"/>
      </w:pPr>
      <w:r>
        <w:rPr>
          <w:color w:val="BF5A14"/>
        </w:rPr>
        <w:t>Abstract</w:t>
      </w:r>
      <w:r w:rsidR="00404E5B">
        <w:rPr>
          <w:color w:val="BF5A14"/>
        </w:rPr>
        <w:t xml:space="preserve"> </w:t>
      </w:r>
    </w:p>
    <w:p w14:paraId="3F897C40" w14:textId="0765B134" w:rsidR="00AE3E37" w:rsidRDefault="00C11BB3" w:rsidP="00172732">
      <w:pPr>
        <w:pStyle w:val="BodyText"/>
        <w:spacing w:before="90" w:line="280" w:lineRule="auto"/>
        <w:ind w:left="100"/>
        <w:jc w:val="both"/>
      </w:pPr>
      <w:r>
        <w:t>The need</w:t>
      </w:r>
      <w:r w:rsidR="006C52AA">
        <w:t>s</w:t>
      </w:r>
      <w:r w:rsidR="00172732">
        <w:t xml:space="preserve"> for flexible energy storage devices increase as the demands and applications of wearable electronics increase. Comparing batteries, capacitors have advantages as energy storage devices. Capacitors can be made of organics, inorganics, and organic-inorganic composites. Various polymers have been studied for energy storage application since polymers are flexible. To improve the energy storage performance of these polymers, different approaches have been studied, among which composite is widely concerned as an effective and promising method. Therefore, various dielectrics have been used to develop polymer-based composites, most of which are ceramic-polymer composites due to the fact that the ceramics have a higher dielectric constant and polymers can stand with a higher electric field so that the ceramic-polymer composites can exhibit </w:t>
      </w:r>
      <w:r w:rsidR="00172732" w:rsidRPr="006C52AA">
        <w:rPr>
          <w:color w:val="000000" w:themeColor="text1"/>
        </w:rPr>
        <w:t>a</w:t>
      </w:r>
      <w:r w:rsidR="00172732" w:rsidRPr="006C52AA">
        <w:rPr>
          <w:color w:val="FF0000"/>
        </w:rPr>
        <w:t xml:space="preserve"> </w:t>
      </w:r>
      <w:r w:rsidR="00172732" w:rsidRPr="006C52AA">
        <w:rPr>
          <w:color w:val="000000" w:themeColor="text1"/>
        </w:rPr>
        <w:t xml:space="preserve">relative </w:t>
      </w:r>
      <w:r w:rsidR="006C52AA">
        <w:rPr>
          <w:color w:val="000000" w:themeColor="text1"/>
        </w:rPr>
        <w:t xml:space="preserve">higher </w:t>
      </w:r>
      <w:r w:rsidR="00172732" w:rsidRPr="006C52AA">
        <w:rPr>
          <w:color w:val="000000" w:themeColor="text1"/>
        </w:rPr>
        <w:t xml:space="preserve">dielectric constant and stand with a relative </w:t>
      </w:r>
      <w:r w:rsidR="006C52AA">
        <w:rPr>
          <w:color w:val="000000" w:themeColor="text1"/>
        </w:rPr>
        <w:t xml:space="preserve">higher </w:t>
      </w:r>
      <w:r w:rsidR="00172732" w:rsidRPr="006C52AA">
        <w:rPr>
          <w:color w:val="000000" w:themeColor="text1"/>
        </w:rPr>
        <w:t>electric field</w:t>
      </w:r>
      <w:r w:rsidR="00172732">
        <w:t xml:space="preserve"> hopefully resulting in a higher energy density. Unfortunately, the embedment of ceramic particles into polymer severely reduces the flexibility of the polymer. To achieve a good uniformity, the thickness of the composite film </w:t>
      </w:r>
      <w:r w:rsidR="00D21839">
        <w:t>must</w:t>
      </w:r>
      <w:r w:rsidR="00172732">
        <w:t xml:space="preserve"> be much bigger than the size of ceramic particles, which limits the thickness of composite films. For polymer-polymer composites (i.e., polymer blends), the poor wettability between two polymers results in a poor morphology uniformity. Here a new approach is reported to improve the energy storage performance of dielectric polymers by mixing polymers with some special small molecules. It is experimentally found that a very small amount of these small molecules can significantly enhance the electric breakdown field of the polymers and, at the same time, the dielect</w:t>
      </w:r>
      <w:r w:rsidR="006C52AA">
        <w:t xml:space="preserve">ric constant of the polymers </w:t>
      </w:r>
      <w:r w:rsidR="00172732">
        <w:t>also increases, which results in a significantly improved energy storage density. Additionally, the flexibility of the mixture is better than the pure polymer. Three different dielectric polymers and three different small molecules were used to demonstrate the advantage of the new approach.</w:t>
      </w:r>
    </w:p>
    <w:p w14:paraId="18707081" w14:textId="77777777" w:rsidR="00AE3E37" w:rsidRDefault="00A9710C">
      <w:pPr>
        <w:pStyle w:val="Heading3"/>
        <w:spacing w:before="74"/>
      </w:pPr>
      <w:r>
        <w:rPr>
          <w:b w:val="0"/>
        </w:rPr>
        <w:br w:type="column"/>
      </w:r>
      <w:r>
        <w:rPr>
          <w:color w:val="BF5A14"/>
        </w:rPr>
        <w:t>Image</w:t>
      </w:r>
    </w:p>
    <w:p w14:paraId="1E89F9BB" w14:textId="77777777" w:rsidR="00A90C03" w:rsidRDefault="00A90C03">
      <w:pPr>
        <w:pStyle w:val="BodyText"/>
        <w:spacing w:before="2"/>
        <w:rPr>
          <w:noProof/>
          <w:lang w:eastAsia="zh-CN"/>
        </w:rPr>
      </w:pPr>
    </w:p>
    <w:p w14:paraId="2C98C2C1" w14:textId="46E81C2F" w:rsidR="00AE3E37" w:rsidRDefault="00D25402" w:rsidP="00A90C03">
      <w:pPr>
        <w:pStyle w:val="BodyText"/>
        <w:spacing w:before="2"/>
        <w:jc w:val="center"/>
        <w:rPr>
          <w:rFonts w:ascii="Arial"/>
          <w:b/>
          <w:sz w:val="16"/>
        </w:rPr>
      </w:pPr>
      <w:r>
        <w:rPr>
          <w:rFonts w:ascii="Arial"/>
          <w:b/>
          <w:noProof/>
          <w:sz w:val="16"/>
        </w:rPr>
        <w:drawing>
          <wp:inline distT="0" distB="0" distL="0" distR="0" wp14:anchorId="5339F155" wp14:editId="75C6FE5A">
            <wp:extent cx="3206750" cy="12951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679"/>
                    <a:stretch/>
                  </pic:blipFill>
                  <pic:spPr bwMode="auto">
                    <a:xfrm>
                      <a:off x="0" y="0"/>
                      <a:ext cx="3266580" cy="1319296"/>
                    </a:xfrm>
                    <a:prstGeom prst="rect">
                      <a:avLst/>
                    </a:prstGeom>
                    <a:noFill/>
                    <a:ln>
                      <a:noFill/>
                    </a:ln>
                    <a:extLst>
                      <a:ext uri="{53640926-AAD7-44D8-BBD7-CCE9431645EC}">
                        <a14:shadowObscured xmlns:a14="http://schemas.microsoft.com/office/drawing/2010/main"/>
                      </a:ext>
                    </a:extLst>
                  </pic:spPr>
                </pic:pic>
              </a:graphicData>
            </a:graphic>
          </wp:inline>
        </w:drawing>
      </w:r>
    </w:p>
    <w:p w14:paraId="4D3C550F" w14:textId="4579040B" w:rsidR="00A90C03" w:rsidRPr="00D21839" w:rsidRDefault="00A90C03" w:rsidP="00A90C03">
      <w:pPr>
        <w:pStyle w:val="BodyText"/>
        <w:spacing w:before="2"/>
        <w:jc w:val="both"/>
        <w:rPr>
          <w:b/>
          <w:sz w:val="16"/>
        </w:rPr>
      </w:pPr>
      <w:r w:rsidRPr="00D21839">
        <w:rPr>
          <w:b/>
          <w:sz w:val="16"/>
        </w:rPr>
        <w:t xml:space="preserve">Figure 1: </w:t>
      </w:r>
      <w:r w:rsidR="00D21839">
        <w:rPr>
          <w:sz w:val="16"/>
        </w:rPr>
        <w:t>Effect</w:t>
      </w:r>
      <w:r w:rsidRPr="00D21839">
        <w:rPr>
          <w:sz w:val="16"/>
        </w:rPr>
        <w:t xml:space="preserve"> of small molecule</w:t>
      </w:r>
      <w:r w:rsidR="005A2ABC">
        <w:rPr>
          <w:sz w:val="16"/>
        </w:rPr>
        <w:t>s</w:t>
      </w:r>
      <w:r w:rsidRPr="00D21839">
        <w:rPr>
          <w:sz w:val="16"/>
        </w:rPr>
        <w:t xml:space="preserve"> </w:t>
      </w:r>
      <w:r w:rsidR="005A2ABC">
        <w:rPr>
          <w:sz w:val="16"/>
        </w:rPr>
        <w:t xml:space="preserve">on electric breakdown process in dielectric </w:t>
      </w:r>
      <w:r w:rsidR="00D21839">
        <w:rPr>
          <w:sz w:val="16"/>
        </w:rPr>
        <w:t>polymer</w:t>
      </w:r>
      <w:r w:rsidRPr="00D21839">
        <w:rPr>
          <w:sz w:val="16"/>
        </w:rPr>
        <w:t xml:space="preserve">. </w:t>
      </w:r>
    </w:p>
    <w:p w14:paraId="7B74414C" w14:textId="5BFA5517" w:rsidR="005973B9" w:rsidRDefault="009A2243" w:rsidP="005973B9">
      <w:pPr>
        <w:spacing w:line="204" w:lineRule="exact"/>
        <w:rPr>
          <w:rFonts w:ascii="Arial"/>
          <w:b/>
          <w:sz w:val="20"/>
        </w:rPr>
      </w:pPr>
      <w:r>
        <w:rPr>
          <w:rFonts w:ascii="Arial"/>
          <w:b/>
          <w:color w:val="BF5A14"/>
          <w:sz w:val="20"/>
        </w:rPr>
        <w:br/>
        <w:t>Recent Publications</w:t>
      </w:r>
    </w:p>
    <w:p w14:paraId="35FA02FC" w14:textId="459C6B91" w:rsidR="005973B9" w:rsidRDefault="00667F7B" w:rsidP="00667F7B">
      <w:pPr>
        <w:pStyle w:val="ListParagraph"/>
        <w:numPr>
          <w:ilvl w:val="0"/>
          <w:numId w:val="3"/>
        </w:numPr>
        <w:tabs>
          <w:tab w:val="left" w:pos="384"/>
        </w:tabs>
        <w:spacing w:before="103" w:line="216" w:lineRule="exact"/>
        <w:ind w:right="138"/>
        <w:rPr>
          <w:sz w:val="18"/>
        </w:rPr>
      </w:pPr>
      <w:r>
        <w:rPr>
          <w:sz w:val="18"/>
        </w:rPr>
        <w:t xml:space="preserve">Yi </w:t>
      </w:r>
      <w:r w:rsidRPr="00667F7B">
        <w:rPr>
          <w:sz w:val="18"/>
        </w:rPr>
        <w:t xml:space="preserve">Z, </w:t>
      </w:r>
      <w:r>
        <w:rPr>
          <w:sz w:val="18"/>
        </w:rPr>
        <w:t xml:space="preserve">Wang </w:t>
      </w:r>
      <w:r w:rsidRPr="00667F7B">
        <w:rPr>
          <w:sz w:val="18"/>
        </w:rPr>
        <w:t xml:space="preserve">Z, </w:t>
      </w:r>
      <w:r>
        <w:rPr>
          <w:sz w:val="18"/>
        </w:rPr>
        <w:t xml:space="preserve">Nian </w:t>
      </w:r>
      <w:r w:rsidRPr="00667F7B">
        <w:rPr>
          <w:sz w:val="18"/>
        </w:rPr>
        <w:t xml:space="preserve">W, </w:t>
      </w:r>
      <w:r>
        <w:rPr>
          <w:sz w:val="18"/>
        </w:rPr>
        <w:t xml:space="preserve">Wang </w:t>
      </w:r>
      <w:r w:rsidRPr="00667F7B">
        <w:rPr>
          <w:sz w:val="18"/>
        </w:rPr>
        <w:t xml:space="preserve">T, </w:t>
      </w:r>
      <w:r>
        <w:rPr>
          <w:sz w:val="18"/>
        </w:rPr>
        <w:t xml:space="preserve">Chen </w:t>
      </w:r>
      <w:r w:rsidRPr="00667F7B">
        <w:rPr>
          <w:sz w:val="18"/>
        </w:rPr>
        <w:t xml:space="preserve">H, and </w:t>
      </w:r>
      <w:r>
        <w:rPr>
          <w:sz w:val="18"/>
        </w:rPr>
        <w:t>Cheng Z.-Y.</w:t>
      </w:r>
      <w:r w:rsidR="006C52AA">
        <w:rPr>
          <w:sz w:val="18"/>
        </w:rPr>
        <w:t xml:space="preserve"> </w:t>
      </w:r>
      <w:r w:rsidR="005973B9">
        <w:rPr>
          <w:sz w:val="18"/>
        </w:rPr>
        <w:t>(20</w:t>
      </w:r>
      <w:r>
        <w:rPr>
          <w:sz w:val="18"/>
        </w:rPr>
        <w:t>21</w:t>
      </w:r>
      <w:r w:rsidR="005973B9">
        <w:rPr>
          <w:sz w:val="18"/>
        </w:rPr>
        <w:t xml:space="preserve">) </w:t>
      </w:r>
      <w:r w:rsidRPr="00667F7B">
        <w:rPr>
          <w:sz w:val="18"/>
        </w:rPr>
        <w:t>ACS Appl. Energy Mater. 4</w:t>
      </w:r>
      <w:r w:rsidR="004F6440">
        <w:rPr>
          <w:sz w:val="18"/>
        </w:rPr>
        <w:t>:</w:t>
      </w:r>
      <w:r w:rsidRPr="00667F7B">
        <w:rPr>
          <w:sz w:val="18"/>
        </w:rPr>
        <w:t>13528–13537</w:t>
      </w:r>
      <w:r w:rsidR="005973B9" w:rsidRPr="005973B9">
        <w:rPr>
          <w:sz w:val="18"/>
        </w:rPr>
        <w:t>.</w:t>
      </w:r>
    </w:p>
    <w:p w14:paraId="5351597C" w14:textId="77777777" w:rsidR="005973B9" w:rsidRDefault="004F6440" w:rsidP="004F6440">
      <w:pPr>
        <w:pStyle w:val="ListParagraph"/>
        <w:numPr>
          <w:ilvl w:val="0"/>
          <w:numId w:val="3"/>
        </w:numPr>
        <w:tabs>
          <w:tab w:val="left" w:pos="384"/>
        </w:tabs>
        <w:spacing w:line="216" w:lineRule="exact"/>
        <w:ind w:right="137"/>
        <w:rPr>
          <w:sz w:val="18"/>
        </w:rPr>
      </w:pPr>
      <w:r>
        <w:rPr>
          <w:sz w:val="18"/>
        </w:rPr>
        <w:t xml:space="preserve">Mei </w:t>
      </w:r>
      <w:r w:rsidRPr="004F6440">
        <w:rPr>
          <w:sz w:val="18"/>
        </w:rPr>
        <w:t>W</w:t>
      </w:r>
      <w:r>
        <w:rPr>
          <w:sz w:val="18"/>
        </w:rPr>
        <w:t xml:space="preserve">i, Wei J, Ko Z, </w:t>
      </w:r>
      <w:r w:rsidRPr="004F6440">
        <w:rPr>
          <w:sz w:val="18"/>
        </w:rPr>
        <w:t>Cheng</w:t>
      </w:r>
      <w:r>
        <w:rPr>
          <w:sz w:val="18"/>
        </w:rPr>
        <w:t xml:space="preserve"> Z</w:t>
      </w:r>
      <w:r w:rsidRPr="004F6440">
        <w:rPr>
          <w:sz w:val="18"/>
        </w:rPr>
        <w:t xml:space="preserve">, </w:t>
      </w:r>
      <w:r>
        <w:rPr>
          <w:sz w:val="18"/>
        </w:rPr>
        <w:t xml:space="preserve">Hu </w:t>
      </w:r>
      <w:r w:rsidRPr="004F6440">
        <w:rPr>
          <w:sz w:val="18"/>
        </w:rPr>
        <w:t>J</w:t>
      </w:r>
      <w:r w:rsidR="005973B9">
        <w:rPr>
          <w:sz w:val="18"/>
        </w:rPr>
        <w:t xml:space="preserve"> (20</w:t>
      </w:r>
      <w:r>
        <w:rPr>
          <w:sz w:val="18"/>
        </w:rPr>
        <w:t>21</w:t>
      </w:r>
      <w:r w:rsidR="005973B9">
        <w:rPr>
          <w:sz w:val="18"/>
        </w:rPr>
        <w:t xml:space="preserve">) </w:t>
      </w:r>
      <w:r w:rsidRPr="004F6440">
        <w:rPr>
          <w:sz w:val="18"/>
        </w:rPr>
        <w:t>Novel P (VDF-HFP)/BST nanocomposite films with enhanced dielectric properties and optimized energy storage performance</w:t>
      </w:r>
      <w:r w:rsidR="005973B9">
        <w:rPr>
          <w:sz w:val="18"/>
        </w:rPr>
        <w:t>.</w:t>
      </w:r>
      <w:r w:rsidRPr="004F6440">
        <w:t xml:space="preserve"> </w:t>
      </w:r>
      <w:r w:rsidRPr="004F6440">
        <w:rPr>
          <w:sz w:val="18"/>
        </w:rPr>
        <w:t>Ceramics International 47</w:t>
      </w:r>
      <w:r>
        <w:rPr>
          <w:sz w:val="18"/>
        </w:rPr>
        <w:t>:</w:t>
      </w:r>
      <w:r w:rsidRPr="004F6440">
        <w:rPr>
          <w:sz w:val="18"/>
        </w:rPr>
        <w:t xml:space="preserve"> 15561-15567</w:t>
      </w:r>
    </w:p>
    <w:p w14:paraId="72E2BF03" w14:textId="77777777" w:rsidR="005973B9" w:rsidRPr="008279B8" w:rsidRDefault="008279B8" w:rsidP="008279B8">
      <w:pPr>
        <w:pStyle w:val="ListParagraph"/>
        <w:numPr>
          <w:ilvl w:val="0"/>
          <w:numId w:val="3"/>
        </w:numPr>
        <w:tabs>
          <w:tab w:val="left" w:pos="384"/>
        </w:tabs>
        <w:spacing w:line="216" w:lineRule="exact"/>
        <w:ind w:right="138"/>
        <w:rPr>
          <w:sz w:val="18"/>
        </w:rPr>
      </w:pPr>
      <w:r w:rsidRPr="008279B8">
        <w:rPr>
          <w:sz w:val="18"/>
        </w:rPr>
        <w:t>Lu</w:t>
      </w:r>
      <w:r>
        <w:rPr>
          <w:sz w:val="18"/>
        </w:rPr>
        <w:t xml:space="preserve"> X</w:t>
      </w:r>
      <w:r w:rsidRPr="008279B8">
        <w:rPr>
          <w:sz w:val="18"/>
        </w:rPr>
        <w:t>, Zou</w:t>
      </w:r>
      <w:r>
        <w:rPr>
          <w:sz w:val="18"/>
        </w:rPr>
        <w:t xml:space="preserve"> X</w:t>
      </w:r>
      <w:r w:rsidRPr="008279B8">
        <w:rPr>
          <w:sz w:val="18"/>
        </w:rPr>
        <w:t>, Shen</w:t>
      </w:r>
      <w:r>
        <w:rPr>
          <w:sz w:val="18"/>
        </w:rPr>
        <w:t xml:space="preserve"> J</w:t>
      </w:r>
      <w:r w:rsidRPr="008279B8">
        <w:rPr>
          <w:sz w:val="18"/>
        </w:rPr>
        <w:t>, Zhang</w:t>
      </w:r>
      <w:r>
        <w:rPr>
          <w:sz w:val="18"/>
        </w:rPr>
        <w:t xml:space="preserve"> L</w:t>
      </w:r>
      <w:r w:rsidRPr="008279B8">
        <w:rPr>
          <w:sz w:val="18"/>
        </w:rPr>
        <w:t>, Jin</w:t>
      </w:r>
      <w:r>
        <w:rPr>
          <w:sz w:val="18"/>
        </w:rPr>
        <w:t xml:space="preserve"> L</w:t>
      </w:r>
      <w:r w:rsidRPr="008279B8">
        <w:rPr>
          <w:sz w:val="18"/>
        </w:rPr>
        <w:t>, Cheng</w:t>
      </w:r>
      <w:r>
        <w:rPr>
          <w:sz w:val="18"/>
        </w:rPr>
        <w:t xml:space="preserve"> Z (2020) </w:t>
      </w:r>
      <w:r w:rsidRPr="008279B8">
        <w:rPr>
          <w:sz w:val="18"/>
        </w:rPr>
        <w:t>High energy density with ultrahigh discharging efficiency obtained in ceramic-polymer nanocomposites using a non-ferroelectric polar polymer as matrix Nano Energy 70</w:t>
      </w:r>
      <w:r>
        <w:rPr>
          <w:sz w:val="18"/>
        </w:rPr>
        <w:t xml:space="preserve">: </w:t>
      </w:r>
      <w:r w:rsidRPr="008279B8">
        <w:rPr>
          <w:sz w:val="18"/>
        </w:rPr>
        <w:t>104551</w:t>
      </w:r>
      <w:r w:rsidR="005973B9" w:rsidRPr="008279B8">
        <w:rPr>
          <w:sz w:val="18"/>
        </w:rPr>
        <w:t>.</w:t>
      </w:r>
    </w:p>
    <w:p w14:paraId="7FC6D58A" w14:textId="77777777" w:rsidR="005973B9" w:rsidRPr="002F487E" w:rsidRDefault="002F487E" w:rsidP="005D4948">
      <w:pPr>
        <w:pStyle w:val="BodyText"/>
        <w:numPr>
          <w:ilvl w:val="0"/>
          <w:numId w:val="3"/>
        </w:numPr>
        <w:spacing w:line="218" w:lineRule="exact"/>
        <w:rPr>
          <w:rFonts w:ascii="Calibri"/>
        </w:rPr>
      </w:pPr>
      <w:r w:rsidRPr="002F487E">
        <w:rPr>
          <w:rFonts w:ascii="Calibri" w:eastAsia="Calibri" w:hAnsi="Calibri" w:cs="Calibri"/>
          <w:szCs w:val="22"/>
        </w:rPr>
        <w:t>Tong Y, Zhang L, Bass P, Rolin TD, Cheng ZY(2018)</w:t>
      </w:r>
      <w:r>
        <w:rPr>
          <w:rFonts w:ascii="Calibri" w:eastAsia="Calibri" w:hAnsi="Calibri" w:cs="Calibri"/>
          <w:szCs w:val="22"/>
        </w:rPr>
        <w:t xml:space="preserve"> </w:t>
      </w:r>
      <w:r w:rsidR="005D4948" w:rsidRPr="005D4948">
        <w:rPr>
          <w:rFonts w:ascii="Calibri" w:eastAsia="Calibri" w:hAnsi="Calibri" w:cs="Calibri"/>
          <w:szCs w:val="22"/>
        </w:rPr>
        <w:t>Influence of silane coupling agent on microstructure and properties of CCTO-P (VDF-CTFE) composites</w:t>
      </w:r>
      <w:r w:rsidR="005D4948">
        <w:rPr>
          <w:rFonts w:ascii="Calibri" w:eastAsia="Calibri" w:hAnsi="Calibri" w:cs="Calibri"/>
          <w:szCs w:val="22"/>
        </w:rPr>
        <w:t xml:space="preserve"> </w:t>
      </w:r>
      <w:r w:rsidRPr="002F487E">
        <w:rPr>
          <w:rFonts w:ascii="Calibri" w:eastAsia="Calibri" w:hAnsi="Calibri" w:cs="Calibri"/>
          <w:szCs w:val="22"/>
        </w:rPr>
        <w:t>Journal of Advanced Dielectrics 8</w:t>
      </w:r>
      <w:r w:rsidR="0013280C">
        <w:rPr>
          <w:rFonts w:ascii="Calibri" w:eastAsia="Calibri" w:hAnsi="Calibri" w:cs="Calibri"/>
          <w:szCs w:val="22"/>
        </w:rPr>
        <w:t>:</w:t>
      </w:r>
      <w:r w:rsidRPr="002F487E">
        <w:rPr>
          <w:rFonts w:ascii="Calibri" w:eastAsia="Calibri" w:hAnsi="Calibri" w:cs="Calibri"/>
          <w:szCs w:val="22"/>
        </w:rPr>
        <w:t>1850008</w:t>
      </w:r>
      <w:r w:rsidR="005973B9" w:rsidRPr="002F487E">
        <w:rPr>
          <w:rFonts w:ascii="Calibri"/>
        </w:rPr>
        <w:t>.</w:t>
      </w:r>
    </w:p>
    <w:p w14:paraId="09FB0E4A" w14:textId="77777777" w:rsidR="005973B9" w:rsidRPr="0013280C" w:rsidRDefault="0013280C" w:rsidP="00076371">
      <w:pPr>
        <w:pStyle w:val="BodyText"/>
        <w:numPr>
          <w:ilvl w:val="0"/>
          <w:numId w:val="3"/>
        </w:numPr>
        <w:spacing w:before="85" w:line="216" w:lineRule="exact"/>
        <w:ind w:right="138"/>
        <w:jc w:val="both"/>
        <w:rPr>
          <w:rFonts w:ascii="Calibri" w:hAnsi="Calibri"/>
        </w:rPr>
      </w:pPr>
      <w:r w:rsidRPr="0013280C">
        <w:rPr>
          <w:rFonts w:ascii="Calibri" w:hAnsi="Calibri"/>
        </w:rPr>
        <w:t>Lu X, Zhang L, Tong Y, Cheng ZY (2019)</w:t>
      </w:r>
      <w:r>
        <w:rPr>
          <w:rFonts w:ascii="Calibri" w:hAnsi="Calibri"/>
        </w:rPr>
        <w:t xml:space="preserve"> </w:t>
      </w:r>
      <w:r w:rsidR="00076371" w:rsidRPr="00076371">
        <w:rPr>
          <w:rFonts w:ascii="Calibri" w:hAnsi="Calibri"/>
        </w:rPr>
        <w:t>BST-P (VDF-CTFE) nanocomposite films with high dielectric constant, low dielectric loss, and high energy-storage density</w:t>
      </w:r>
      <w:r>
        <w:rPr>
          <w:rFonts w:ascii="Calibri" w:hAnsi="Calibri"/>
        </w:rPr>
        <w:t xml:space="preserve"> </w:t>
      </w:r>
      <w:r w:rsidRPr="0013280C">
        <w:rPr>
          <w:rFonts w:ascii="Calibri" w:hAnsi="Calibri"/>
        </w:rPr>
        <w:t>Composites Part B: Engineering 168</w:t>
      </w:r>
      <w:r>
        <w:rPr>
          <w:rFonts w:ascii="Calibri" w:hAnsi="Calibri"/>
        </w:rPr>
        <w:t>:</w:t>
      </w:r>
      <w:r w:rsidRPr="0013280C">
        <w:rPr>
          <w:rFonts w:ascii="Calibri" w:hAnsi="Calibri"/>
        </w:rPr>
        <w:t>34-43</w:t>
      </w:r>
      <w:r w:rsidR="005973B9" w:rsidRPr="0013280C">
        <w:rPr>
          <w:rFonts w:ascii="Calibri" w:hAnsi="Calibri"/>
        </w:rPr>
        <w:t>.</w:t>
      </w:r>
    </w:p>
    <w:p w14:paraId="7F5FE9CC" w14:textId="77777777" w:rsidR="00AE3E37" w:rsidRPr="008756E6" w:rsidRDefault="00AE3E37" w:rsidP="008756E6">
      <w:pPr>
        <w:tabs>
          <w:tab w:val="left" w:pos="384"/>
        </w:tabs>
        <w:ind w:right="117"/>
      </w:pPr>
    </w:p>
    <w:p w14:paraId="1D992AC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80BBF56" w14:textId="77777777" w:rsidR="00AE3E37" w:rsidRDefault="00AE3E37">
      <w:pPr>
        <w:pStyle w:val="BodyText"/>
        <w:rPr>
          <w:rFonts w:ascii="Calibri"/>
          <w:sz w:val="20"/>
        </w:rPr>
      </w:pPr>
    </w:p>
    <w:p w14:paraId="15B7F6F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95932BD" wp14:editId="5DFC4C4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6966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7787A6" w14:textId="4DCCF8E6" w:rsidR="005923F0" w:rsidRPr="005923F0" w:rsidRDefault="002114F3" w:rsidP="00404E5B">
      <w:pPr>
        <w:spacing w:before="92"/>
        <w:ind w:right="4234"/>
        <w:rPr>
          <w:rFonts w:ascii="Times New Roman" w:hAnsi="Times New Roman" w:cs="Times New Roman"/>
          <w:sz w:val="24"/>
          <w:szCs w:val="24"/>
        </w:rPr>
      </w:pPr>
      <w:r w:rsidRPr="002114F3">
        <w:rPr>
          <w:rFonts w:ascii="Times New Roman" w:hAnsi="Times New Roman" w:cs="Times New Roman"/>
          <w:sz w:val="24"/>
          <w:szCs w:val="24"/>
        </w:rPr>
        <w:drawing>
          <wp:anchor distT="0" distB="0" distL="114300" distR="114300" simplePos="0" relativeHeight="251661312" behindDoc="0" locked="0" layoutInCell="1" allowOverlap="1" wp14:anchorId="755D5150" wp14:editId="5AC345EF">
            <wp:simplePos x="0" y="0"/>
            <wp:positionH relativeFrom="column">
              <wp:posOffset>3919667</wp:posOffset>
            </wp:positionH>
            <wp:positionV relativeFrom="paragraph">
              <wp:posOffset>65772</wp:posOffset>
            </wp:positionV>
            <wp:extent cx="2743200" cy="353695"/>
            <wp:effectExtent l="0" t="0" r="0" b="8255"/>
            <wp:wrapNone/>
            <wp:docPr id="112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15"/>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2743200" cy="353695"/>
                    </a:xfrm>
                    <a:prstGeom prst="rect">
                      <a:avLst/>
                    </a:prstGeom>
                    <a:noFill/>
                    <a:ln>
                      <a:noFill/>
                    </a:ln>
                    <a:extLst>
                      <a:ext uri="{909E8E84-426E-40dd-AFC4-6F175D3DCCD1}">
                        <a14:hiddenFill xmlns:p="http://schemas.openxmlformats.org/presentationml/2006/main" xmlns="" xmlns:a14="http://schemas.microsoft.com/office/drawing/2010/main" xmlns:lc="http://schemas.openxmlformats.org/drawingml/2006/lockedCanvas">
                          <a:solidFill>
                            <a:srgbClr val="FFFFFF"/>
                          </a:solidFill>
                        </a14:hiddenFill>
                      </a:ext>
                      <a:ext uri="{91240B29-F687-4f45-9708-019B960494DF}">
                        <a14:hiddenLine xmlns:p="http://schemas.openxmlformats.org/presentationml/2006/main" xmlns="" xmlns:a14="http://schemas.microsoft.com/office/drawing/2010/main" xmlns:lc="http://schemas.openxmlformats.org/drawingml/2006/lockedCanvas"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F4507D">
        <w:rPr>
          <w:noProof/>
        </w:rPr>
        <w:drawing>
          <wp:inline distT="0" distB="0" distL="0" distR="0" wp14:anchorId="2E4E5637" wp14:editId="1D9A2EDB">
            <wp:extent cx="615950" cy="615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pic:spPr>
                </pic:pic>
              </a:graphicData>
            </a:graphic>
          </wp:inline>
        </w:drawing>
      </w:r>
      <w:r w:rsidR="00A9710C">
        <w:rPr>
          <w:rFonts w:ascii="Arial"/>
          <w:color w:val="BF5A14"/>
        </w:rPr>
        <w:t>Biography</w:t>
      </w:r>
      <w:r w:rsidR="00A52075" w:rsidRPr="00A52075">
        <w:rPr>
          <w:rFonts w:ascii="Times New Roman" w:hAnsi="Times New Roman" w:cs="Times New Roman"/>
          <w:sz w:val="24"/>
          <w:szCs w:val="24"/>
        </w:rPr>
        <w:t xml:space="preserve"> </w:t>
      </w:r>
    </w:p>
    <w:p w14:paraId="767D44B0" w14:textId="15CFCF7D" w:rsidR="00AE3E37" w:rsidRDefault="005923F0" w:rsidP="002114F3">
      <w:pPr>
        <w:spacing w:before="41" w:line="154" w:lineRule="exact"/>
        <w:ind w:left="213" w:right="231"/>
        <w:jc w:val="both"/>
        <w:rPr>
          <w:rFonts w:ascii="Arial"/>
          <w:sz w:val="14"/>
        </w:rPr>
      </w:pPr>
      <w:r w:rsidRPr="005923F0">
        <w:rPr>
          <w:rFonts w:ascii="Arial"/>
          <w:sz w:val="14"/>
        </w:rPr>
        <w:t>Jindong Wei received his master</w:t>
      </w:r>
      <w:r w:rsidRPr="005923F0">
        <w:rPr>
          <w:rFonts w:ascii="Arial"/>
          <w:sz w:val="14"/>
        </w:rPr>
        <w:t>’</w:t>
      </w:r>
      <w:r w:rsidRPr="005923F0">
        <w:rPr>
          <w:rFonts w:ascii="Arial"/>
          <w:sz w:val="14"/>
        </w:rPr>
        <w:t>s degree from Auburn University under the supervision of Prof. ZhongYang Cheng in 2019. He is currently pursuing his Ph.D. degree in Materials Engineering under the supervision of Prof. ZhongYang Cheng at Auburn University. His current research interests focus on energy storage and conversion materials, nanomaterials, and biomass materials, etc. After years of experience in research of polymer-based energy storage material, he found several kinds of small molecule components which can improve polymers' energy storage performance</w:t>
      </w:r>
      <w:r w:rsidR="00A9710C">
        <w:rPr>
          <w:rFonts w:ascii="Arial"/>
          <w:sz w:val="14"/>
        </w:rPr>
        <w:t>.</w:t>
      </w:r>
      <w:r w:rsidR="002114F3">
        <w:rPr>
          <w:rFonts w:ascii="Arial"/>
          <w:sz w:val="14"/>
        </w:rPr>
        <w:t xml:space="preserve">    </w:t>
      </w:r>
      <w:r w:rsidR="00A9710C">
        <w:rPr>
          <w:rFonts w:ascii="Arial"/>
          <w:sz w:val="14"/>
        </w:rPr>
        <w:t xml:space="preserve">Email: </w:t>
      </w:r>
      <w:hyperlink r:id="rId11" w:history="1">
        <w:r w:rsidR="002114F3" w:rsidRPr="000D136D">
          <w:rPr>
            <w:rStyle w:val="Hyperlink"/>
            <w:rFonts w:ascii="Arial"/>
            <w:sz w:val="14"/>
          </w:rPr>
          <w:t>jzw0100@auburn.edu</w:t>
        </w:r>
      </w:hyperlink>
    </w:p>
    <w:p w14:paraId="6057AAF3" w14:textId="0A83E835" w:rsidR="002114F3" w:rsidRDefault="002114F3" w:rsidP="002114F3">
      <w:pPr>
        <w:spacing w:before="41" w:line="154" w:lineRule="exact"/>
        <w:ind w:left="213" w:right="231"/>
        <w:jc w:val="both"/>
        <w:rPr>
          <w:rFonts w:ascii="Arial"/>
          <w:sz w:val="14"/>
        </w:rPr>
      </w:pPr>
      <w:r>
        <w:rPr>
          <w:rFonts w:ascii="Arial"/>
          <w:sz w:val="14"/>
        </w:rPr>
        <w:t xml:space="preserve">Dr. Zhongyang (Z.-Y.) Cheng is a McWane professor in materials engineering and mechanical engineering at </w:t>
      </w:r>
      <w:r w:rsidRPr="002114F3">
        <w:rPr>
          <w:rFonts w:ascii="Arial"/>
          <w:sz w:val="14"/>
        </w:rPr>
        <w:t>Auburn University</w:t>
      </w:r>
      <w:r>
        <w:rPr>
          <w:rFonts w:ascii="Arial"/>
          <w:sz w:val="14"/>
        </w:rPr>
        <w:t>. He is also leading the efforts of Auburn University Detection and Food Safety Center (AUDFS).</w:t>
      </w:r>
    </w:p>
    <w:p w14:paraId="3EC1154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42A7E3C" wp14:editId="6D3965E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90501E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B957B07" w14:textId="54B00715" w:rsidR="00AE3E37" w:rsidRDefault="00A9710C" w:rsidP="000534A1">
      <w:pPr>
        <w:spacing w:before="39"/>
        <w:ind w:left="100"/>
        <w:rPr>
          <w:rFonts w:ascii="Minion Pro"/>
          <w:b/>
          <w:sz w:val="20"/>
        </w:rPr>
      </w:pPr>
      <w:r w:rsidRPr="00B21A57">
        <w:rPr>
          <w:rFonts w:ascii="Minion Pro"/>
          <w:b/>
          <w:sz w:val="20"/>
        </w:rPr>
        <w:t>Notes/Comments:</w:t>
      </w:r>
      <w:r w:rsidR="002114F3">
        <w:rPr>
          <w:rFonts w:ascii="Minion Pro"/>
          <w:b/>
          <w:sz w:val="20"/>
        </w:rPr>
        <w:t xml:space="preserve"> </w:t>
      </w:r>
    </w:p>
    <w:p w14:paraId="47157263" w14:textId="534B84C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114F3">
        <w:rPr>
          <w:sz w:val="20"/>
          <w:szCs w:val="20"/>
          <w:lang w:val="en-NZ"/>
        </w:rPr>
        <w:t>Zhongyang Cheng</w:t>
      </w:r>
      <w:r w:rsidR="002114F3" w:rsidRPr="00F35A62">
        <w:rPr>
          <w:sz w:val="20"/>
          <w:szCs w:val="20"/>
          <w:lang w:val="en-NZ"/>
        </w:rPr>
        <w:t xml:space="preserve"> </w:t>
      </w:r>
      <w:r w:rsidRPr="00F35A62">
        <w:rPr>
          <w:sz w:val="20"/>
          <w:szCs w:val="20"/>
          <w:lang w:val="en-NZ"/>
        </w:rPr>
        <w:br/>
        <w:t>Contact number:</w:t>
      </w:r>
      <w:r w:rsidR="00BF7981">
        <w:rPr>
          <w:sz w:val="20"/>
          <w:szCs w:val="20"/>
          <w:lang w:val="en-NZ"/>
        </w:rPr>
        <w:t xml:space="preserve"> </w:t>
      </w:r>
      <w:r w:rsidR="005E140B">
        <w:rPr>
          <w:sz w:val="20"/>
          <w:szCs w:val="20"/>
          <w:lang w:val="en-NZ"/>
        </w:rPr>
        <w:t>+1 334-</w:t>
      </w:r>
      <w:r w:rsidR="002114F3">
        <w:rPr>
          <w:sz w:val="20"/>
          <w:szCs w:val="20"/>
          <w:lang w:val="en-NZ"/>
        </w:rPr>
        <w:t>844</w:t>
      </w:r>
      <w:r w:rsidR="005E140B">
        <w:rPr>
          <w:sz w:val="20"/>
          <w:szCs w:val="20"/>
          <w:lang w:val="en-NZ"/>
        </w:rPr>
        <w:t>-</w:t>
      </w:r>
      <w:r w:rsidR="002114F3">
        <w:rPr>
          <w:sz w:val="20"/>
          <w:szCs w:val="20"/>
          <w:lang w:val="en-NZ"/>
        </w:rPr>
        <w:t>3419</w:t>
      </w:r>
      <w:r w:rsidRPr="00F35A62">
        <w:rPr>
          <w:sz w:val="20"/>
          <w:szCs w:val="20"/>
          <w:lang w:val="en-NZ"/>
        </w:rPr>
        <w:br/>
        <w:t>Twitter account:</w:t>
      </w:r>
      <w:r w:rsidRPr="00F35A62">
        <w:rPr>
          <w:sz w:val="20"/>
          <w:szCs w:val="20"/>
          <w:lang w:val="en-NZ"/>
        </w:rPr>
        <w:br/>
        <w:t>Linked In account:</w:t>
      </w:r>
    </w:p>
    <w:p w14:paraId="1CD209C6" w14:textId="440721DF"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A151C7">
        <w:rPr>
          <w:sz w:val="20"/>
          <w:szCs w:val="20"/>
          <w:lang w:val="en-NZ"/>
        </w:rPr>
        <w:t>Polymer Science and Application / Track 10</w:t>
      </w:r>
      <w:bookmarkStart w:id="0" w:name="_GoBack"/>
      <w:bookmarkEnd w:id="0"/>
      <w:r w:rsidRPr="00F35A62">
        <w:rPr>
          <w:sz w:val="20"/>
          <w:szCs w:val="20"/>
          <w:lang w:val="en-NZ"/>
        </w:rPr>
        <w:br/>
        <w:t>Category: (Oral presentation)</w:t>
      </w:r>
      <w:r w:rsidRPr="00F35A62">
        <w:rPr>
          <w:sz w:val="20"/>
          <w:szCs w:val="20"/>
          <w:lang w:val="en-NZ"/>
        </w:rPr>
        <w:br/>
      </w:r>
    </w:p>
    <w:p w14:paraId="40CDA12F" w14:textId="0781F77A" w:rsidR="00EA7D51" w:rsidRPr="000534A1" w:rsidRDefault="00EA7D51" w:rsidP="002114F3">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2BAD6104" w14:textId="77777777" w:rsidR="00AE3E37" w:rsidRDefault="00AE3E37" w:rsidP="002114F3">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03F95" w14:textId="77777777" w:rsidR="00EA7FA1" w:rsidRDefault="00EA7FA1">
      <w:r>
        <w:separator/>
      </w:r>
    </w:p>
  </w:endnote>
  <w:endnote w:type="continuationSeparator" w:id="0">
    <w:p w14:paraId="328E209B" w14:textId="77777777" w:rsidR="00EA7FA1" w:rsidRDefault="00EA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95E5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E1571E0" wp14:editId="47BE82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07C0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E2A5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E1571E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D407C0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E2A5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8EACD7" wp14:editId="6689A8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A79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1658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8EACD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DFA79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1658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19806B" wp14:editId="4F6054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3376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0215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19806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AD3376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0215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81012" w14:textId="77777777" w:rsidR="00EA7FA1" w:rsidRDefault="00EA7FA1">
      <w:r>
        <w:separator/>
      </w:r>
    </w:p>
  </w:footnote>
  <w:footnote w:type="continuationSeparator" w:id="0">
    <w:p w14:paraId="3B847B29" w14:textId="77777777" w:rsidR="00EA7FA1" w:rsidRDefault="00EA7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76371"/>
    <w:rsid w:val="000B4CAA"/>
    <w:rsid w:val="000E2911"/>
    <w:rsid w:val="000E34FA"/>
    <w:rsid w:val="001263DF"/>
    <w:rsid w:val="0013280C"/>
    <w:rsid w:val="00172732"/>
    <w:rsid w:val="002114F3"/>
    <w:rsid w:val="00292ED9"/>
    <w:rsid w:val="002F487E"/>
    <w:rsid w:val="00351D9B"/>
    <w:rsid w:val="00380299"/>
    <w:rsid w:val="00404E5B"/>
    <w:rsid w:val="00414F7B"/>
    <w:rsid w:val="004355DC"/>
    <w:rsid w:val="004749B4"/>
    <w:rsid w:val="00475D20"/>
    <w:rsid w:val="00494130"/>
    <w:rsid w:val="004F3523"/>
    <w:rsid w:val="004F6440"/>
    <w:rsid w:val="00590D60"/>
    <w:rsid w:val="005923F0"/>
    <w:rsid w:val="005973B9"/>
    <w:rsid w:val="005A2ABC"/>
    <w:rsid w:val="005B36C3"/>
    <w:rsid w:val="005B3A56"/>
    <w:rsid w:val="005D4948"/>
    <w:rsid w:val="005E140B"/>
    <w:rsid w:val="006060CE"/>
    <w:rsid w:val="0061505C"/>
    <w:rsid w:val="0063497F"/>
    <w:rsid w:val="006613D4"/>
    <w:rsid w:val="00667F7B"/>
    <w:rsid w:val="006C52AA"/>
    <w:rsid w:val="00714354"/>
    <w:rsid w:val="008279B8"/>
    <w:rsid w:val="00873DF0"/>
    <w:rsid w:val="008756E6"/>
    <w:rsid w:val="008938B6"/>
    <w:rsid w:val="00897EC5"/>
    <w:rsid w:val="008A0763"/>
    <w:rsid w:val="008E5477"/>
    <w:rsid w:val="009A2243"/>
    <w:rsid w:val="009B2D44"/>
    <w:rsid w:val="00A07E82"/>
    <w:rsid w:val="00A151C7"/>
    <w:rsid w:val="00A52075"/>
    <w:rsid w:val="00A90C03"/>
    <w:rsid w:val="00A9710C"/>
    <w:rsid w:val="00AC23EE"/>
    <w:rsid w:val="00AE3E37"/>
    <w:rsid w:val="00B21A57"/>
    <w:rsid w:val="00BE6743"/>
    <w:rsid w:val="00BF7981"/>
    <w:rsid w:val="00C11BB3"/>
    <w:rsid w:val="00C33602"/>
    <w:rsid w:val="00C56C74"/>
    <w:rsid w:val="00CD6F55"/>
    <w:rsid w:val="00D21839"/>
    <w:rsid w:val="00D25402"/>
    <w:rsid w:val="00D35608"/>
    <w:rsid w:val="00DE3104"/>
    <w:rsid w:val="00DE6170"/>
    <w:rsid w:val="00E30AAC"/>
    <w:rsid w:val="00E95D97"/>
    <w:rsid w:val="00EA7D51"/>
    <w:rsid w:val="00EA7FA1"/>
    <w:rsid w:val="00F046EA"/>
    <w:rsid w:val="00F312EA"/>
    <w:rsid w:val="00F35A62"/>
    <w:rsid w:val="00F4507D"/>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A6967"/>
  <w15:docId w15:val="{605D033A-62A8-4345-B061-C8E937DD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592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zw0100@auburn.edu"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686</Words>
  <Characters>3742</Characters>
  <Application>Microsoft Office Word</Application>
  <DocSecurity>0</DocSecurity>
  <Lines>113</Lines>
  <Paragraphs>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Zhongyang Cheng</cp:lastModifiedBy>
  <cp:revision>4</cp:revision>
  <dcterms:created xsi:type="dcterms:W3CDTF">2022-01-05T16:05:00Z</dcterms:created>
  <dcterms:modified xsi:type="dcterms:W3CDTF">2022-01-05T16:14:00Z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