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5236" w:rsidRPr="00925236" w:rsidRDefault="00B8420F" w:rsidP="000C7701">
      <w:pPr>
        <w:pStyle w:val="Kop1"/>
        <w:spacing w:before="170"/>
        <w:ind w:left="142"/>
        <w:rPr>
          <w:color w:val="337AB7"/>
        </w:rPr>
      </w:pPr>
      <w:r>
        <w:rPr>
          <w:color w:val="337AB7"/>
        </w:rPr>
        <w:t>Role of Bio-based Monomers in Coating Applications</w:t>
      </w:r>
    </w:p>
    <w:p w:rsidR="005973B9" w:rsidRDefault="00B8420F" w:rsidP="005973B9">
      <w:pPr>
        <w:pStyle w:val="Plattetekst"/>
        <w:spacing w:before="73" w:line="198" w:lineRule="exact"/>
        <w:ind w:left="100" w:right="5987"/>
        <w:rPr>
          <w:rFonts w:ascii="Arial"/>
        </w:rPr>
      </w:pPr>
      <w:proofErr w:type="spellStart"/>
      <w:r>
        <w:rPr>
          <w:rFonts w:ascii="Arial"/>
        </w:rPr>
        <w:t>Samyn</w:t>
      </w:r>
      <w:proofErr w:type="spellEnd"/>
      <w:r w:rsidR="005973B9">
        <w:rPr>
          <w:rFonts w:ascii="Arial"/>
        </w:rPr>
        <w:t xml:space="preserve">, </w:t>
      </w:r>
      <w:r>
        <w:rPr>
          <w:rFonts w:ascii="Arial"/>
        </w:rPr>
        <w:t>P</w:t>
      </w:r>
      <w:r w:rsidR="005973B9">
        <w:rPr>
          <w:rFonts w:ascii="Arial"/>
        </w:rPr>
        <w:t xml:space="preserve"> PhD, </w:t>
      </w:r>
      <w:proofErr w:type="spellStart"/>
      <w:r>
        <w:rPr>
          <w:rFonts w:ascii="Arial"/>
        </w:rPr>
        <w:t>Sirris</w:t>
      </w:r>
      <w:proofErr w:type="spellEnd"/>
      <w:r>
        <w:rPr>
          <w:rFonts w:ascii="Arial"/>
        </w:rPr>
        <w:t xml:space="preserve"> Smart Coatings Lab, Belgium</w:t>
      </w:r>
    </w:p>
    <w:p w:rsidR="00AE3E37" w:rsidRDefault="00AE3E37">
      <w:pPr>
        <w:pStyle w:val="Plattetekst"/>
        <w:rPr>
          <w:rFonts w:ascii="Arial"/>
          <w:sz w:val="20"/>
        </w:rPr>
      </w:pPr>
    </w:p>
    <w:p w:rsidR="00AE3E37" w:rsidRDefault="00AE3E37">
      <w:pPr>
        <w:pStyle w:val="Platteteks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Kop3"/>
        <w:spacing w:before="147"/>
        <w:jc w:val="both"/>
      </w:pPr>
      <w:r>
        <w:rPr>
          <w:color w:val="BF5A14"/>
        </w:rPr>
        <w:lastRenderedPageBreak/>
        <w:t>Abstract</w:t>
      </w:r>
      <w:r w:rsidR="000C7701">
        <w:rPr>
          <w:color w:val="BF5A14"/>
        </w:rPr>
        <w:t xml:space="preserve"> </w:t>
      </w:r>
    </w:p>
    <w:p w:rsidR="00AE3E37" w:rsidRDefault="00A9710C">
      <w:pPr>
        <w:pStyle w:val="Plattetekst"/>
        <w:spacing w:before="90" w:line="280" w:lineRule="auto"/>
        <w:ind w:left="100"/>
        <w:jc w:val="both"/>
      </w:pPr>
      <w:r>
        <w:t xml:space="preserve">Statement of the Problem: </w:t>
      </w:r>
      <w:r w:rsidR="00B8420F">
        <w:t>In a transition towards circular economy, the use of renewable materials is encouraged to replace traditional petrol-based polymers. In particular, it is expected that the processing and performance properties of the bio-based alternatives are similar to the traditional polymers, but often discrepancies related to viscosity, quality procurement, availability and performance of the bio-based materials are encountered. Therefore, care on the exact processing conditions of bio-based alternatives should be taken in order to provide materials with even enhanced properties and functionalities.</w:t>
      </w:r>
      <w:r>
        <w:t xml:space="preserve"> Methodolog</w:t>
      </w:r>
      <w:r w:rsidR="008756E6">
        <w:t xml:space="preserve">y &amp; Theoretical Orientation: </w:t>
      </w:r>
      <w:r w:rsidR="00B8420F">
        <w:t>A comparative study on coating applications is done by making formulations of fossil-based polymers and their bio-based alternatives derived from vegetable feedstock. The processing conditions under UV-curing are evaluated in order to optimize the coating performances</w:t>
      </w:r>
      <w:r>
        <w:t xml:space="preserve">. Findings: </w:t>
      </w:r>
      <w:r w:rsidR="00B8420F">
        <w:t xml:space="preserve">The incorporation of bio-based monomers in coating formulations provides enhanced properties in terms of mechanical resistance against abrasion, reduced brittleness, higher ductility and better water resistance. </w:t>
      </w:r>
      <w:r w:rsidR="000C7701" w:rsidRPr="000C7701">
        <w:t xml:space="preserve">Under conditions providing fully cured coatings, the bio-based acrylate coatings systematically present lower wear. </w:t>
      </w:r>
      <w:r w:rsidR="00B8420F">
        <w:t xml:space="preserve">The </w:t>
      </w:r>
      <w:r w:rsidR="000844FD">
        <w:t>internal material structure of coatings with bio-based monomers is characterized through a hierarchical orga</w:t>
      </w:r>
      <w:r w:rsidR="00C80848">
        <w:t xml:space="preserve">nization within micro- to </w:t>
      </w:r>
      <w:proofErr w:type="spellStart"/>
      <w:r w:rsidR="00C80848">
        <w:t>nanos</w:t>
      </w:r>
      <w:r w:rsidR="000844FD">
        <w:t>ale</w:t>
      </w:r>
      <w:proofErr w:type="spellEnd"/>
      <w:r w:rsidR="000844FD">
        <w:t xml:space="preserve"> entities that improves the mechanical properties</w:t>
      </w:r>
      <w:r>
        <w:t>.</w:t>
      </w:r>
      <w:r w:rsidR="000C7701">
        <w:t xml:space="preserve"> Moreover, the presence of a hydrophobic monolayer at the surface enhances lubricity of the </w:t>
      </w:r>
      <w:proofErr w:type="spellStart"/>
      <w:r w:rsidR="000C7701">
        <w:t>biobased</w:t>
      </w:r>
      <w:proofErr w:type="spellEnd"/>
      <w:r w:rsidR="000C7701">
        <w:t xml:space="preserve"> coatings.</w:t>
      </w:r>
      <w:r>
        <w:t xml:space="preserve"> </w:t>
      </w:r>
      <w:r w:rsidR="000844FD">
        <w:t xml:space="preserve">In parallel, the curing kinetics of bio-based and fossil-based materials are very similar resulting in comparable cross-linking densities. </w:t>
      </w:r>
      <w:r>
        <w:t xml:space="preserve">Conclusion &amp; Significance: </w:t>
      </w:r>
      <w:r w:rsidR="000844FD">
        <w:t xml:space="preserve">In this study, the benefits of introducing bio-based chemical building blocks in coating applications are illustrated. This case study serves as a motivation to support a transition into </w:t>
      </w:r>
      <w:proofErr w:type="spellStart"/>
      <w:r w:rsidR="000844FD">
        <w:t>biobased</w:t>
      </w:r>
      <w:proofErr w:type="spellEnd"/>
      <w:r w:rsidR="000844FD">
        <w:t xml:space="preserve"> materials with enhanced properties and functionality. </w:t>
      </w:r>
      <w:bookmarkStart w:id="0" w:name="_GoBack"/>
      <w:bookmarkEnd w:id="0"/>
    </w:p>
    <w:p w:rsidR="00AE3E37" w:rsidRDefault="00A9710C">
      <w:pPr>
        <w:pStyle w:val="Kop3"/>
        <w:spacing w:before="74"/>
      </w:pPr>
      <w:r>
        <w:rPr>
          <w:b w:val="0"/>
        </w:rPr>
        <w:br w:type="column"/>
      </w:r>
      <w:r>
        <w:rPr>
          <w:color w:val="BF5A14"/>
        </w:rPr>
        <w:lastRenderedPageBreak/>
        <w:t>Image</w:t>
      </w:r>
    </w:p>
    <w:p w:rsidR="002041C9" w:rsidRDefault="002041C9" w:rsidP="002041C9">
      <w:pPr>
        <w:pStyle w:val="Plattetekst"/>
        <w:spacing w:before="2"/>
        <w:jc w:val="center"/>
        <w:rPr>
          <w:rFonts w:ascii="Arial"/>
          <w:b/>
          <w:sz w:val="16"/>
        </w:rPr>
      </w:pPr>
    </w:p>
    <w:p w:rsidR="002041C9" w:rsidRDefault="002041C9" w:rsidP="002041C9">
      <w:pPr>
        <w:pStyle w:val="Plattetekst"/>
        <w:spacing w:before="2"/>
        <w:jc w:val="center"/>
        <w:rPr>
          <w:rFonts w:ascii="Arial"/>
          <w:b/>
          <w:sz w:val="16"/>
        </w:rPr>
      </w:pPr>
    </w:p>
    <w:p w:rsidR="00AE3E37" w:rsidRDefault="002041C9" w:rsidP="002041C9">
      <w:pPr>
        <w:pStyle w:val="Plattetekst"/>
        <w:spacing w:before="2"/>
        <w:jc w:val="center"/>
        <w:rPr>
          <w:rFonts w:ascii="Arial"/>
          <w:b/>
          <w:sz w:val="16"/>
        </w:rPr>
      </w:pPr>
      <w:r>
        <w:rPr>
          <w:rFonts w:ascii="Arial"/>
          <w:b/>
          <w:noProof/>
          <w:sz w:val="16"/>
          <w:lang w:val="nl-BE" w:eastAsia="nl-BE"/>
        </w:rPr>
        <w:drawing>
          <wp:inline distT="0" distB="0" distL="0" distR="0" wp14:anchorId="43A1EB2E">
            <wp:extent cx="3113884" cy="1675765"/>
            <wp:effectExtent l="0" t="0" r="0" b="635"/>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1" r="2076" b="3930"/>
                    <a:stretch/>
                  </pic:blipFill>
                  <pic:spPr bwMode="auto">
                    <a:xfrm>
                      <a:off x="0" y="0"/>
                      <a:ext cx="3130180" cy="1684535"/>
                    </a:xfrm>
                    <a:prstGeom prst="rect">
                      <a:avLst/>
                    </a:prstGeom>
                    <a:noFill/>
                    <a:ln>
                      <a:noFill/>
                    </a:ln>
                    <a:extLst>
                      <a:ext uri="{53640926-AAD7-44D8-BBD7-CCE9431645EC}">
                        <a14:shadowObscured xmlns:a14="http://schemas.microsoft.com/office/drawing/2010/main"/>
                      </a:ext>
                    </a:extLst>
                  </pic:spPr>
                </pic:pic>
              </a:graphicData>
            </a:graphic>
          </wp:inline>
        </w:drawing>
      </w:r>
    </w:p>
    <w:p w:rsidR="002041C9" w:rsidRDefault="002041C9" w:rsidP="002041C9">
      <w:pPr>
        <w:pStyle w:val="Plattetekst"/>
        <w:spacing w:before="2"/>
        <w:jc w:val="center"/>
        <w:rPr>
          <w:rFonts w:ascii="Arial"/>
          <w:b/>
          <w:sz w:val="16"/>
        </w:rPr>
      </w:pPr>
    </w:p>
    <w:p w:rsidR="002041C9" w:rsidRPr="002041C9" w:rsidRDefault="002041C9" w:rsidP="002041C9">
      <w:pPr>
        <w:pStyle w:val="Plattetekst"/>
        <w:spacing w:before="2"/>
        <w:jc w:val="both"/>
        <w:rPr>
          <w:rFonts w:ascii="Arial"/>
          <w:sz w:val="16"/>
        </w:rPr>
      </w:pPr>
      <w:r w:rsidRPr="002041C9">
        <w:rPr>
          <w:rFonts w:ascii="Arial"/>
          <w:sz w:val="16"/>
        </w:rPr>
        <w:t xml:space="preserve">Figure 1. Role of bio-based monomers and fossil-based monomers on the static water contact angle (hydrophobicity) of acrylate coatings applied on wood in presence of different photo-initiator concentrations and curing steps. </w:t>
      </w:r>
    </w:p>
    <w:p w:rsidR="002041C9" w:rsidRDefault="002041C9" w:rsidP="002041C9">
      <w:pPr>
        <w:pStyle w:val="Plattetekst"/>
        <w:spacing w:before="2"/>
        <w:jc w:val="center"/>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A83D3D" w:rsidP="00C80848">
      <w:pPr>
        <w:pStyle w:val="Lijstalinea"/>
        <w:numPr>
          <w:ilvl w:val="0"/>
          <w:numId w:val="3"/>
        </w:numPr>
        <w:tabs>
          <w:tab w:val="left" w:pos="384"/>
        </w:tabs>
        <w:spacing w:before="103" w:line="216" w:lineRule="exact"/>
        <w:ind w:right="138"/>
        <w:rPr>
          <w:sz w:val="18"/>
        </w:rPr>
      </w:pPr>
      <w:proofErr w:type="spellStart"/>
      <w:r>
        <w:rPr>
          <w:sz w:val="18"/>
        </w:rPr>
        <w:t>Pourhashem</w:t>
      </w:r>
      <w:proofErr w:type="spellEnd"/>
      <w:r w:rsidR="00C80848" w:rsidRPr="00C80848">
        <w:rPr>
          <w:sz w:val="18"/>
        </w:rPr>
        <w:t xml:space="preserve"> G</w:t>
      </w:r>
      <w:r>
        <w:rPr>
          <w:sz w:val="18"/>
        </w:rPr>
        <w:t xml:space="preserve"> (2020)</w:t>
      </w:r>
      <w:r w:rsidR="00C80848" w:rsidRPr="00C80848">
        <w:rPr>
          <w:sz w:val="18"/>
        </w:rPr>
        <w:t xml:space="preserve"> Coating</w:t>
      </w:r>
      <w:r>
        <w:rPr>
          <w:sz w:val="18"/>
        </w:rPr>
        <w:t xml:space="preserve"> a sustainable future. Coatings 10:</w:t>
      </w:r>
      <w:r w:rsidR="00C80848" w:rsidRPr="00C80848">
        <w:rPr>
          <w:sz w:val="18"/>
        </w:rPr>
        <w:t xml:space="preserve"> 713 </w:t>
      </w:r>
    </w:p>
    <w:p w:rsidR="005973B9" w:rsidRDefault="00A83D3D" w:rsidP="00A83D3D">
      <w:pPr>
        <w:pStyle w:val="Lijstalinea"/>
        <w:numPr>
          <w:ilvl w:val="0"/>
          <w:numId w:val="3"/>
        </w:numPr>
        <w:tabs>
          <w:tab w:val="left" w:pos="384"/>
        </w:tabs>
        <w:spacing w:line="216" w:lineRule="exact"/>
        <w:ind w:right="137"/>
        <w:rPr>
          <w:sz w:val="18"/>
        </w:rPr>
      </w:pPr>
      <w:proofErr w:type="spellStart"/>
      <w:r>
        <w:rPr>
          <w:sz w:val="18"/>
        </w:rPr>
        <w:t>Akpan</w:t>
      </w:r>
      <w:proofErr w:type="spellEnd"/>
      <w:r w:rsidRPr="00A83D3D">
        <w:rPr>
          <w:sz w:val="18"/>
        </w:rPr>
        <w:t xml:space="preserve"> EI, Wetzel B, Friedrich K</w:t>
      </w:r>
      <w:r>
        <w:rPr>
          <w:sz w:val="18"/>
        </w:rPr>
        <w:t xml:space="preserve"> (2018)</w:t>
      </w:r>
      <w:r w:rsidRPr="00A83D3D">
        <w:rPr>
          <w:sz w:val="18"/>
        </w:rPr>
        <w:t xml:space="preserve"> A fully </w:t>
      </w:r>
      <w:proofErr w:type="spellStart"/>
      <w:r w:rsidRPr="00A83D3D">
        <w:rPr>
          <w:sz w:val="18"/>
        </w:rPr>
        <w:t>biobased</w:t>
      </w:r>
      <w:proofErr w:type="spellEnd"/>
      <w:r w:rsidRPr="00A83D3D">
        <w:rPr>
          <w:sz w:val="18"/>
        </w:rPr>
        <w:t xml:space="preserve"> tribology material based on acrylic resin an</w:t>
      </w:r>
      <w:r>
        <w:rPr>
          <w:sz w:val="18"/>
        </w:rPr>
        <w:t xml:space="preserve">d short wood </w:t>
      </w:r>
      <w:proofErr w:type="spellStart"/>
      <w:r>
        <w:rPr>
          <w:sz w:val="18"/>
        </w:rPr>
        <w:t>fibres</w:t>
      </w:r>
      <w:proofErr w:type="spellEnd"/>
      <w:r>
        <w:rPr>
          <w:sz w:val="18"/>
        </w:rPr>
        <w:t>. Tribolo</w:t>
      </w:r>
      <w:r w:rsidRPr="00A83D3D">
        <w:rPr>
          <w:sz w:val="18"/>
        </w:rPr>
        <w:t>gy International</w:t>
      </w:r>
      <w:r>
        <w:rPr>
          <w:sz w:val="18"/>
        </w:rPr>
        <w:t xml:space="preserve"> 120:</w:t>
      </w:r>
      <w:r w:rsidRPr="00A83D3D">
        <w:rPr>
          <w:sz w:val="18"/>
        </w:rPr>
        <w:t>381-390</w:t>
      </w:r>
      <w:r>
        <w:rPr>
          <w:sz w:val="18"/>
        </w:rPr>
        <w:t xml:space="preserve">. </w:t>
      </w:r>
    </w:p>
    <w:p w:rsidR="005973B9" w:rsidRDefault="00A83D3D" w:rsidP="00A83D3D">
      <w:pPr>
        <w:pStyle w:val="Lijstalinea"/>
        <w:numPr>
          <w:ilvl w:val="0"/>
          <w:numId w:val="3"/>
        </w:numPr>
        <w:tabs>
          <w:tab w:val="left" w:pos="384"/>
        </w:tabs>
        <w:spacing w:line="216" w:lineRule="exact"/>
        <w:ind w:right="138"/>
        <w:rPr>
          <w:sz w:val="18"/>
        </w:rPr>
      </w:pPr>
      <w:proofErr w:type="spellStart"/>
      <w:r>
        <w:rPr>
          <w:sz w:val="18"/>
        </w:rPr>
        <w:t>Mashouf</w:t>
      </w:r>
      <w:proofErr w:type="spellEnd"/>
      <w:r>
        <w:rPr>
          <w:sz w:val="18"/>
        </w:rPr>
        <w:t xml:space="preserve"> M</w:t>
      </w:r>
      <w:r w:rsidRPr="00A83D3D">
        <w:rPr>
          <w:sz w:val="18"/>
        </w:rPr>
        <w:t xml:space="preserve">, </w:t>
      </w:r>
      <w:proofErr w:type="spellStart"/>
      <w:r w:rsidRPr="00A83D3D">
        <w:rPr>
          <w:sz w:val="18"/>
        </w:rPr>
        <w:t>Ebrahimi</w:t>
      </w:r>
      <w:proofErr w:type="spellEnd"/>
      <w:r>
        <w:rPr>
          <w:sz w:val="18"/>
        </w:rPr>
        <w:t xml:space="preserve"> M, </w:t>
      </w:r>
      <w:proofErr w:type="spellStart"/>
      <w:r>
        <w:rPr>
          <w:sz w:val="18"/>
        </w:rPr>
        <w:t>Bastani</w:t>
      </w:r>
      <w:proofErr w:type="spellEnd"/>
      <w:r w:rsidRPr="00A83D3D">
        <w:rPr>
          <w:sz w:val="18"/>
        </w:rPr>
        <w:t xml:space="preserve"> S</w:t>
      </w:r>
      <w:r>
        <w:rPr>
          <w:sz w:val="18"/>
        </w:rPr>
        <w:t xml:space="preserve"> (2014)</w:t>
      </w:r>
      <w:r w:rsidRPr="00A83D3D">
        <w:rPr>
          <w:sz w:val="18"/>
        </w:rPr>
        <w:t xml:space="preserve"> UV curable urethane acrylate coatings formulation: experimental design approac</w:t>
      </w:r>
      <w:r>
        <w:rPr>
          <w:sz w:val="18"/>
        </w:rPr>
        <w:t>h. Pigment and Resin Technology 43:</w:t>
      </w:r>
      <w:r w:rsidRPr="00A83D3D">
        <w:rPr>
          <w:sz w:val="18"/>
        </w:rPr>
        <w:t>91-68</w:t>
      </w:r>
      <w:r>
        <w:rPr>
          <w:sz w:val="18"/>
        </w:rPr>
        <w:t xml:space="preserve">. </w:t>
      </w:r>
    </w:p>
    <w:p w:rsidR="00F945CF" w:rsidRDefault="00F945CF" w:rsidP="005973B9">
      <w:pPr>
        <w:pStyle w:val="Plattetekst"/>
        <w:spacing w:before="85" w:line="216" w:lineRule="exact"/>
        <w:ind w:left="383" w:right="138" w:hanging="284"/>
        <w:jc w:val="both"/>
        <w:rPr>
          <w:rFonts w:ascii="Calibri" w:eastAsia="Calibri" w:hAnsi="Calibri" w:cs="Calibri"/>
          <w:szCs w:val="22"/>
        </w:rPr>
      </w:pPr>
      <w:r>
        <w:rPr>
          <w:rFonts w:ascii="Calibri" w:eastAsia="Calibri" w:hAnsi="Calibri" w:cs="Calibri"/>
          <w:szCs w:val="22"/>
        </w:rPr>
        <w:t xml:space="preserve">4. </w:t>
      </w:r>
      <w:proofErr w:type="spellStart"/>
      <w:r w:rsidRPr="00F945CF">
        <w:rPr>
          <w:rFonts w:ascii="Calibri" w:eastAsia="Calibri" w:hAnsi="Calibri" w:cs="Calibri"/>
          <w:szCs w:val="22"/>
        </w:rPr>
        <w:t>Samyn</w:t>
      </w:r>
      <w:proofErr w:type="spellEnd"/>
      <w:r w:rsidR="00A83D3D">
        <w:rPr>
          <w:rFonts w:ascii="Calibri" w:eastAsia="Calibri" w:hAnsi="Calibri" w:cs="Calibri"/>
          <w:szCs w:val="22"/>
        </w:rPr>
        <w:t xml:space="preserve"> P</w:t>
      </w:r>
      <w:r w:rsidRPr="00F945CF">
        <w:rPr>
          <w:rFonts w:ascii="Calibri" w:eastAsia="Calibri" w:hAnsi="Calibri" w:cs="Calibri"/>
          <w:szCs w:val="22"/>
        </w:rPr>
        <w:t xml:space="preserve">, </w:t>
      </w:r>
      <w:proofErr w:type="spellStart"/>
      <w:r w:rsidRPr="00F945CF">
        <w:rPr>
          <w:rFonts w:ascii="Calibri" w:eastAsia="Calibri" w:hAnsi="Calibri" w:cs="Calibri"/>
          <w:szCs w:val="22"/>
        </w:rPr>
        <w:t>Biesalski</w:t>
      </w:r>
      <w:proofErr w:type="spellEnd"/>
      <w:r w:rsidR="00A83D3D">
        <w:rPr>
          <w:rFonts w:ascii="Calibri" w:eastAsia="Calibri" w:hAnsi="Calibri" w:cs="Calibri"/>
          <w:szCs w:val="22"/>
        </w:rPr>
        <w:t xml:space="preserve"> M</w:t>
      </w:r>
      <w:r w:rsidRPr="00F945CF">
        <w:rPr>
          <w:rFonts w:ascii="Calibri" w:eastAsia="Calibri" w:hAnsi="Calibri" w:cs="Calibri"/>
          <w:szCs w:val="22"/>
        </w:rPr>
        <w:t xml:space="preserve">, </w:t>
      </w:r>
      <w:proofErr w:type="spellStart"/>
      <w:r w:rsidRPr="00F945CF">
        <w:rPr>
          <w:rFonts w:ascii="Calibri" w:eastAsia="Calibri" w:hAnsi="Calibri" w:cs="Calibri"/>
          <w:szCs w:val="22"/>
        </w:rPr>
        <w:t>Prucker</w:t>
      </w:r>
      <w:proofErr w:type="spellEnd"/>
      <w:r w:rsidR="00A83D3D">
        <w:rPr>
          <w:rFonts w:ascii="Calibri" w:eastAsia="Calibri" w:hAnsi="Calibri" w:cs="Calibri"/>
          <w:szCs w:val="22"/>
        </w:rPr>
        <w:t xml:space="preserve"> O</w:t>
      </w:r>
      <w:r w:rsidRPr="00F945CF">
        <w:rPr>
          <w:rFonts w:ascii="Calibri" w:eastAsia="Calibri" w:hAnsi="Calibri" w:cs="Calibri"/>
          <w:szCs w:val="22"/>
        </w:rPr>
        <w:t xml:space="preserve">, </w:t>
      </w:r>
      <w:proofErr w:type="spellStart"/>
      <w:r w:rsidRPr="00F945CF">
        <w:rPr>
          <w:rFonts w:ascii="Calibri" w:eastAsia="Calibri" w:hAnsi="Calibri" w:cs="Calibri"/>
          <w:szCs w:val="22"/>
        </w:rPr>
        <w:t>Rühe</w:t>
      </w:r>
      <w:proofErr w:type="spellEnd"/>
      <w:r>
        <w:rPr>
          <w:rFonts w:ascii="Calibri" w:eastAsia="Calibri" w:hAnsi="Calibri" w:cs="Calibri"/>
          <w:szCs w:val="22"/>
        </w:rPr>
        <w:t xml:space="preserve"> </w:t>
      </w:r>
      <w:r w:rsidR="00A83D3D">
        <w:rPr>
          <w:rFonts w:ascii="Calibri" w:eastAsia="Calibri" w:hAnsi="Calibri" w:cs="Calibri"/>
          <w:szCs w:val="22"/>
        </w:rPr>
        <w:t xml:space="preserve">J </w:t>
      </w:r>
      <w:r>
        <w:rPr>
          <w:rFonts w:ascii="Calibri" w:eastAsia="Calibri" w:hAnsi="Calibri" w:cs="Calibri"/>
          <w:szCs w:val="22"/>
        </w:rPr>
        <w:t xml:space="preserve">(2019) </w:t>
      </w:r>
      <w:r w:rsidRPr="00F945CF">
        <w:rPr>
          <w:rFonts w:ascii="Calibri" w:eastAsia="Calibri" w:hAnsi="Calibri" w:cs="Calibri"/>
          <w:szCs w:val="22"/>
        </w:rPr>
        <w:t>Confining acrylate-</w:t>
      </w:r>
      <w:proofErr w:type="spellStart"/>
      <w:r w:rsidRPr="00F945CF">
        <w:rPr>
          <w:rFonts w:ascii="Calibri" w:eastAsia="Calibri" w:hAnsi="Calibri" w:cs="Calibri"/>
          <w:szCs w:val="22"/>
        </w:rPr>
        <w:t>benzophenone</w:t>
      </w:r>
      <w:proofErr w:type="spellEnd"/>
      <w:r w:rsidRPr="00F945CF">
        <w:rPr>
          <w:rFonts w:ascii="Calibri" w:eastAsia="Calibri" w:hAnsi="Calibri" w:cs="Calibri"/>
          <w:szCs w:val="22"/>
        </w:rPr>
        <w:t xml:space="preserve"> copolymers into adhesive </w:t>
      </w:r>
      <w:proofErr w:type="spellStart"/>
      <w:r w:rsidRPr="00F945CF">
        <w:rPr>
          <w:rFonts w:ascii="Calibri" w:eastAsia="Calibri" w:hAnsi="Calibri" w:cs="Calibri"/>
          <w:szCs w:val="22"/>
        </w:rPr>
        <w:t>micropad</w:t>
      </w:r>
      <w:r>
        <w:rPr>
          <w:rFonts w:ascii="Calibri" w:eastAsia="Calibri" w:hAnsi="Calibri" w:cs="Calibri"/>
          <w:szCs w:val="22"/>
        </w:rPr>
        <w:t>s</w:t>
      </w:r>
      <w:proofErr w:type="spellEnd"/>
      <w:r>
        <w:rPr>
          <w:rFonts w:ascii="Calibri" w:eastAsia="Calibri" w:hAnsi="Calibri" w:cs="Calibri"/>
          <w:szCs w:val="22"/>
        </w:rPr>
        <w:t xml:space="preserve"> by photochemical crosslinking, Journal of Photochemistry A </w:t>
      </w:r>
      <w:r w:rsidRPr="00F945CF">
        <w:rPr>
          <w:rFonts w:ascii="Calibri" w:eastAsia="Calibri" w:hAnsi="Calibri" w:cs="Calibri"/>
          <w:szCs w:val="22"/>
        </w:rPr>
        <w:t>377</w:t>
      </w:r>
      <w:r>
        <w:rPr>
          <w:rFonts w:ascii="Calibri" w:eastAsia="Calibri" w:hAnsi="Calibri" w:cs="Calibri"/>
          <w:szCs w:val="22"/>
        </w:rPr>
        <w:t>:80-91</w:t>
      </w:r>
      <w:r w:rsidRPr="00F945CF">
        <w:rPr>
          <w:rFonts w:ascii="Calibri" w:eastAsia="Calibri" w:hAnsi="Calibri" w:cs="Calibri"/>
          <w:szCs w:val="22"/>
        </w:rPr>
        <w:t xml:space="preserve">. </w:t>
      </w:r>
    </w:p>
    <w:p w:rsidR="005973B9" w:rsidRDefault="005973B9" w:rsidP="005973B9">
      <w:pPr>
        <w:pStyle w:val="Plattetekst"/>
        <w:spacing w:before="85" w:line="216" w:lineRule="exact"/>
        <w:ind w:left="383" w:right="138" w:hanging="284"/>
        <w:jc w:val="both"/>
        <w:rPr>
          <w:rFonts w:ascii="Calibri" w:hAnsi="Calibri"/>
        </w:rPr>
      </w:pPr>
      <w:r>
        <w:rPr>
          <w:rFonts w:ascii="Calibri" w:hAnsi="Calibri"/>
        </w:rPr>
        <w:t xml:space="preserve">5. </w:t>
      </w:r>
      <w:proofErr w:type="spellStart"/>
      <w:r w:rsidR="00F945CF" w:rsidRPr="00F945CF">
        <w:rPr>
          <w:rFonts w:ascii="Calibri" w:hAnsi="Calibri"/>
        </w:rPr>
        <w:t>S</w:t>
      </w:r>
      <w:r w:rsidR="00F945CF">
        <w:rPr>
          <w:rFonts w:ascii="Calibri" w:hAnsi="Calibri"/>
        </w:rPr>
        <w:t>amyn</w:t>
      </w:r>
      <w:proofErr w:type="spellEnd"/>
      <w:r w:rsidR="00A83D3D">
        <w:rPr>
          <w:rFonts w:ascii="Calibri" w:hAnsi="Calibri"/>
        </w:rPr>
        <w:t xml:space="preserve"> P,</w:t>
      </w:r>
      <w:r w:rsidR="00F945CF">
        <w:rPr>
          <w:rFonts w:ascii="Calibri" w:hAnsi="Calibri"/>
        </w:rPr>
        <w:t xml:space="preserve"> </w:t>
      </w:r>
      <w:proofErr w:type="spellStart"/>
      <w:r w:rsidR="00F945CF">
        <w:rPr>
          <w:rFonts w:ascii="Calibri" w:hAnsi="Calibri"/>
        </w:rPr>
        <w:t>Bosmans</w:t>
      </w:r>
      <w:proofErr w:type="spellEnd"/>
      <w:r w:rsidR="00A83D3D">
        <w:rPr>
          <w:rFonts w:ascii="Calibri" w:hAnsi="Calibri"/>
        </w:rPr>
        <w:t xml:space="preserve"> J</w:t>
      </w:r>
      <w:r w:rsidR="00F945CF">
        <w:rPr>
          <w:rFonts w:ascii="Calibri" w:hAnsi="Calibri"/>
        </w:rPr>
        <w:t xml:space="preserve">, </w:t>
      </w:r>
      <w:proofErr w:type="spellStart"/>
      <w:r w:rsidR="00F945CF">
        <w:rPr>
          <w:rFonts w:ascii="Calibri" w:hAnsi="Calibri"/>
        </w:rPr>
        <w:t>Cosemans</w:t>
      </w:r>
      <w:proofErr w:type="spellEnd"/>
      <w:r w:rsidR="00F945CF">
        <w:rPr>
          <w:rFonts w:ascii="Calibri" w:hAnsi="Calibri"/>
        </w:rPr>
        <w:t xml:space="preserve"> </w:t>
      </w:r>
      <w:r w:rsidR="00A83D3D">
        <w:rPr>
          <w:rFonts w:ascii="Calibri" w:hAnsi="Calibri"/>
        </w:rPr>
        <w:t xml:space="preserve">P </w:t>
      </w:r>
      <w:r w:rsidR="00F945CF">
        <w:rPr>
          <w:rFonts w:ascii="Calibri" w:hAnsi="Calibri"/>
        </w:rPr>
        <w:t xml:space="preserve">(2021) </w:t>
      </w:r>
      <w:r w:rsidR="00F945CF" w:rsidRPr="00F945CF">
        <w:rPr>
          <w:rFonts w:ascii="Calibri" w:hAnsi="Calibri"/>
        </w:rPr>
        <w:t>Current Alternatives for In-can Preservation</w:t>
      </w:r>
      <w:r w:rsidR="00F945CF">
        <w:rPr>
          <w:rFonts w:ascii="Calibri" w:hAnsi="Calibri"/>
        </w:rPr>
        <w:t xml:space="preserve"> of Aqueous Paints: A Review</w:t>
      </w:r>
      <w:r w:rsidR="00F945CF" w:rsidRPr="00F945CF">
        <w:rPr>
          <w:rFonts w:ascii="Calibri" w:hAnsi="Calibri"/>
        </w:rPr>
        <w:t>; 2nd International online conference on polymer science, P</w:t>
      </w:r>
      <w:r w:rsidR="00F945CF">
        <w:rPr>
          <w:rFonts w:ascii="Calibri" w:hAnsi="Calibri"/>
        </w:rPr>
        <w:t>olymers for Industry 4.0, online</w:t>
      </w:r>
      <w:r>
        <w:rPr>
          <w:rFonts w:ascii="Calibri" w:hAnsi="Calibri"/>
        </w:rPr>
        <w:t>.</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Plattetekst"/>
        <w:rPr>
          <w:rFonts w:ascii="Calibri"/>
          <w:sz w:val="20"/>
        </w:rPr>
      </w:pPr>
    </w:p>
    <w:p w:rsidR="00AE3E37" w:rsidRDefault="00292ED9">
      <w:pPr>
        <w:pStyle w:val="Plattetekst"/>
        <w:spacing w:line="40" w:lineRule="exact"/>
        <w:ind w:left="2202"/>
        <w:rPr>
          <w:rFonts w:ascii="Calibri"/>
          <w:sz w:val="4"/>
        </w:rPr>
      </w:pPr>
      <w:r>
        <w:rPr>
          <w:rFonts w:ascii="Calibri"/>
          <w:noProof/>
          <w:sz w:val="4"/>
          <w:lang w:val="nl-BE" w:eastAsia="nl-BE"/>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F41A8C1"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925236" w:rsidRDefault="008756E6" w:rsidP="00925236">
      <w:pPr>
        <w:spacing w:before="92"/>
        <w:ind w:right="4234"/>
        <w:jc w:val="both"/>
        <w:rPr>
          <w:noProof/>
        </w:rPr>
      </w:pPr>
      <w:r>
        <w:rPr>
          <w:noProof/>
        </w:rPr>
        <w:t xml:space="preserve">              </w:t>
      </w:r>
      <w:r w:rsidR="00802E3F">
        <w:rPr>
          <w:noProof/>
        </w:rPr>
        <w:t xml:space="preserve"> </w:t>
      </w:r>
    </w:p>
    <w:p w:rsidR="00AE3E37" w:rsidRDefault="00925236" w:rsidP="00404E5B">
      <w:pPr>
        <w:spacing w:before="92"/>
        <w:ind w:right="4234"/>
        <w:rPr>
          <w:rFonts w:ascii="Arial"/>
          <w:color w:val="BF5A14"/>
        </w:rPr>
      </w:pPr>
      <w:r>
        <w:rPr>
          <w:noProof/>
        </w:rPr>
        <w:t xml:space="preserve">    </w:t>
      </w:r>
      <w:r w:rsidR="00A9710C">
        <w:rPr>
          <w:rFonts w:ascii="Arial"/>
          <w:color w:val="BF5A14"/>
        </w:rPr>
        <w:t>Biography</w:t>
      </w:r>
      <w:r w:rsidR="00404E5B">
        <w:rPr>
          <w:rFonts w:ascii="Arial"/>
          <w:color w:val="BF5A14"/>
        </w:rPr>
        <w:t xml:space="preserve"> (150 word limit)</w:t>
      </w:r>
    </w:p>
    <w:p w:rsidR="00643354" w:rsidRDefault="00643354" w:rsidP="00404E5B">
      <w:pPr>
        <w:spacing w:before="92"/>
        <w:ind w:right="4234"/>
        <w:rPr>
          <w:rFonts w:ascii="Arial"/>
        </w:rPr>
      </w:pPr>
      <w:r>
        <w:rPr>
          <w:noProof/>
          <w:lang w:val="nl-BE" w:eastAsia="nl-BE"/>
        </w:rPr>
        <w:drawing>
          <wp:anchor distT="0" distB="0" distL="114300" distR="114300" simplePos="0" relativeHeight="251658240" behindDoc="1" locked="0" layoutInCell="1" allowOverlap="1">
            <wp:simplePos x="0" y="0"/>
            <wp:positionH relativeFrom="column">
              <wp:posOffset>168275</wp:posOffset>
            </wp:positionH>
            <wp:positionV relativeFrom="paragraph">
              <wp:posOffset>59055</wp:posOffset>
            </wp:positionV>
            <wp:extent cx="866775" cy="1028700"/>
            <wp:effectExtent l="0" t="0" r="9525" b="0"/>
            <wp:wrapTight wrapText="bothSides">
              <wp:wrapPolygon edited="0">
                <wp:start x="0" y="0"/>
                <wp:lineTo x="0" y="21200"/>
                <wp:lineTo x="21363" y="21200"/>
                <wp:lineTo x="21363" y="0"/>
                <wp:lineTo x="0" y="0"/>
              </wp:wrapPolygon>
            </wp:wrapTight>
            <wp:docPr id="1" name="Picture 1" descr="Pieter Samyn&amp;#39;s email &amp;amp; phone | Sirris&amp;#39;s Senior Project Engineer Smart and  Bio-Based Coatings email"/>
            <wp:cNvGraphicFramePr/>
            <a:graphic xmlns:a="http://schemas.openxmlformats.org/drawingml/2006/main">
              <a:graphicData uri="http://schemas.openxmlformats.org/drawingml/2006/picture">
                <pic:pic xmlns:pic="http://schemas.openxmlformats.org/drawingml/2006/picture">
                  <pic:nvPicPr>
                    <pic:cNvPr id="1" name="Picture 1" descr="Pieter Samyn&amp;#39;s email &amp;amp; phone | Sirris&amp;#39;s Senior Project Engineer Smart and  Bio-Based Coatings email"/>
                    <pic:cNvPicPr/>
                  </pic:nvPicPr>
                  <pic:blipFill rotWithShape="1">
                    <a:blip r:embed="rId10">
                      <a:extLst>
                        <a:ext uri="{28A0092B-C50C-407E-A947-70E740481C1C}">
                          <a14:useLocalDpi xmlns:a14="http://schemas.microsoft.com/office/drawing/2010/main" val="0"/>
                        </a:ext>
                      </a:extLst>
                    </a:blip>
                    <a:srcRect l="10638" r="6383"/>
                    <a:stretch/>
                  </pic:blipFill>
                  <pic:spPr bwMode="auto">
                    <a:xfrm>
                      <a:off x="0" y="0"/>
                      <a:ext cx="866775" cy="10287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E3E37" w:rsidRDefault="00643354">
      <w:pPr>
        <w:spacing w:before="41" w:line="154" w:lineRule="exact"/>
        <w:ind w:left="213" w:right="231"/>
        <w:jc w:val="both"/>
        <w:rPr>
          <w:rFonts w:ascii="Arial"/>
          <w:sz w:val="14"/>
        </w:rPr>
      </w:pPr>
      <w:r>
        <w:rPr>
          <w:rFonts w:ascii="Arial"/>
          <w:sz w:val="14"/>
        </w:rPr>
        <w:t>Dr</w:t>
      </w:r>
      <w:r w:rsidRPr="00643354">
        <w:rPr>
          <w:rFonts w:ascii="Arial"/>
          <w:sz w:val="14"/>
        </w:rPr>
        <w:t xml:space="preserve">. </w:t>
      </w:r>
      <w:proofErr w:type="spellStart"/>
      <w:r w:rsidRPr="00643354">
        <w:rPr>
          <w:rFonts w:ascii="Arial"/>
          <w:sz w:val="14"/>
        </w:rPr>
        <w:t>ir.</w:t>
      </w:r>
      <w:proofErr w:type="spellEnd"/>
      <w:r w:rsidRPr="00643354">
        <w:rPr>
          <w:rFonts w:ascii="Arial"/>
          <w:sz w:val="14"/>
        </w:rPr>
        <w:t xml:space="preserve"> Pieter </w:t>
      </w:r>
      <w:proofErr w:type="spellStart"/>
      <w:r w:rsidRPr="00643354">
        <w:rPr>
          <w:rFonts w:ascii="Arial"/>
          <w:sz w:val="14"/>
        </w:rPr>
        <w:t>Samyn</w:t>
      </w:r>
      <w:proofErr w:type="spellEnd"/>
      <w:r w:rsidRPr="00643354">
        <w:rPr>
          <w:rFonts w:ascii="Arial"/>
          <w:sz w:val="14"/>
        </w:rPr>
        <w:t xml:space="preserve"> received Ph.D. in Materials Science and Engineering in 2007 from Ghent University presenting his research on polymer tribology. He followed an academic career from 2000 to 2020 at Universities of Ghent, Freiburg, Toronto and Hasselt having different positions of assistant professor and visiting professor. In 2021, he joined the collective research </w:t>
      </w:r>
      <w:proofErr w:type="spellStart"/>
      <w:r w:rsidRPr="00643354">
        <w:rPr>
          <w:rFonts w:ascii="Arial"/>
          <w:sz w:val="14"/>
        </w:rPr>
        <w:t>centre</w:t>
      </w:r>
      <w:proofErr w:type="spellEnd"/>
      <w:r w:rsidRPr="00643354">
        <w:rPr>
          <w:rFonts w:ascii="Arial"/>
          <w:sz w:val="14"/>
        </w:rPr>
        <w:t xml:space="preserve"> </w:t>
      </w:r>
      <w:proofErr w:type="spellStart"/>
      <w:r w:rsidRPr="00643354">
        <w:rPr>
          <w:rFonts w:ascii="Arial"/>
          <w:sz w:val="14"/>
        </w:rPr>
        <w:t>Sirris</w:t>
      </w:r>
      <w:proofErr w:type="spellEnd"/>
      <w:r w:rsidRPr="00643354">
        <w:rPr>
          <w:rFonts w:ascii="Arial"/>
          <w:sz w:val="14"/>
        </w:rPr>
        <w:t xml:space="preserve"> as a Senior Researcher in Circular Economy and Renewable Materials. His experiences focus on synthesis, processing and characterization of bio-based materials for composites and coatings. He led research projects on bio-inspired adhesion mechanisms, protective coatings for papers, advanced analytics and processing of </w:t>
      </w:r>
      <w:proofErr w:type="spellStart"/>
      <w:r w:rsidRPr="00643354">
        <w:rPr>
          <w:rFonts w:ascii="Arial"/>
          <w:sz w:val="14"/>
        </w:rPr>
        <w:t>nanocomposites</w:t>
      </w:r>
      <w:proofErr w:type="spellEnd"/>
      <w:r w:rsidRPr="00643354">
        <w:rPr>
          <w:rFonts w:ascii="Arial"/>
          <w:sz w:val="14"/>
        </w:rPr>
        <w:t xml:space="preserve"> from bio-based building blocks. The latter were also used for the fabrication of composites with functional interfaces and in-build </w:t>
      </w:r>
      <w:proofErr w:type="spellStart"/>
      <w:r w:rsidRPr="00643354">
        <w:rPr>
          <w:rFonts w:ascii="Arial"/>
          <w:sz w:val="14"/>
        </w:rPr>
        <w:t>sensoring</w:t>
      </w:r>
      <w:proofErr w:type="spellEnd"/>
      <w:r w:rsidRPr="00643354">
        <w:rPr>
          <w:rFonts w:ascii="Arial"/>
          <w:sz w:val="14"/>
        </w:rPr>
        <w:t xml:space="preserve"> properties. His work was awarded with several distinctions including the Robert-Bosch </w:t>
      </w:r>
      <w:proofErr w:type="spellStart"/>
      <w:r w:rsidRPr="00643354">
        <w:rPr>
          <w:rFonts w:ascii="Arial"/>
          <w:sz w:val="14"/>
        </w:rPr>
        <w:t>Juniorprofessorship</w:t>
      </w:r>
      <w:proofErr w:type="spellEnd"/>
      <w:r w:rsidRPr="00643354">
        <w:rPr>
          <w:rFonts w:ascii="Arial"/>
          <w:sz w:val="14"/>
        </w:rPr>
        <w:t xml:space="preserve">, Baden-Wurttemberg </w:t>
      </w:r>
      <w:proofErr w:type="spellStart"/>
      <w:r w:rsidRPr="00643354">
        <w:rPr>
          <w:rFonts w:ascii="Arial"/>
          <w:sz w:val="14"/>
        </w:rPr>
        <w:t>Juniorprofessorenprogramm</w:t>
      </w:r>
      <w:proofErr w:type="spellEnd"/>
      <w:r w:rsidRPr="00643354">
        <w:rPr>
          <w:rFonts w:ascii="Arial"/>
          <w:sz w:val="14"/>
        </w:rPr>
        <w:t xml:space="preserve">, and Heinz-Maier Leibnitz </w:t>
      </w:r>
      <w:proofErr w:type="spellStart"/>
      <w:r w:rsidRPr="00643354">
        <w:rPr>
          <w:rFonts w:ascii="Arial"/>
          <w:sz w:val="14"/>
        </w:rPr>
        <w:t>Preis</w:t>
      </w:r>
      <w:proofErr w:type="spellEnd"/>
      <w:r w:rsidRPr="00643354">
        <w:rPr>
          <w:rFonts w:ascii="Arial"/>
          <w:sz w:val="14"/>
        </w:rPr>
        <w:t xml:space="preserve"> and FRIAS Fellowship. Currently, he assists companies in the implementation of bio-based polymer coatings and paints for industrial applications.</w:t>
      </w:r>
    </w:p>
    <w:p w:rsidR="00AE3E37" w:rsidRDefault="00A9710C">
      <w:pPr>
        <w:spacing w:before="62"/>
        <w:ind w:left="4217" w:right="4235"/>
        <w:jc w:val="center"/>
        <w:rPr>
          <w:rFonts w:ascii="Arial"/>
          <w:sz w:val="14"/>
        </w:rPr>
      </w:pPr>
      <w:r>
        <w:rPr>
          <w:rFonts w:ascii="Arial"/>
          <w:sz w:val="14"/>
        </w:rPr>
        <w:t xml:space="preserve">Email: </w:t>
      </w:r>
      <w:hyperlink r:id="rId11" w:history="1">
        <w:r w:rsidR="00643354" w:rsidRPr="002533DB">
          <w:rPr>
            <w:rStyle w:val="Hyperlink"/>
            <w:rFonts w:ascii="Arial"/>
            <w:sz w:val="14"/>
          </w:rPr>
          <w:t>pieter.samyn@outlook.be</w:t>
        </w:r>
      </w:hyperlink>
      <w:r w:rsidR="00643354">
        <w:rPr>
          <w:rFonts w:ascii="Arial"/>
          <w:sz w:val="14"/>
        </w:rPr>
        <w:t xml:space="preserve"> </w:t>
      </w:r>
    </w:p>
    <w:p w:rsidR="00AE3E37" w:rsidRDefault="00292ED9">
      <w:pPr>
        <w:pStyle w:val="Plattetekst"/>
        <w:spacing w:before="2"/>
        <w:rPr>
          <w:rFonts w:ascii="Arial"/>
          <w:sz w:val="19"/>
        </w:rPr>
      </w:pPr>
      <w:r>
        <w:rPr>
          <w:noProof/>
          <w:lang w:val="nl-BE" w:eastAsia="nl-BE"/>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3E57BB"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Plattetekst"/>
        <w:rPr>
          <w:rFonts w:ascii="Arial"/>
          <w:sz w:val="20"/>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Platteteks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C08BA" w:rsidRDefault="002C08BA">
      <w:r>
        <w:separator/>
      </w:r>
    </w:p>
  </w:endnote>
  <w:endnote w:type="continuationSeparator" w:id="0">
    <w:p w:rsidR="002C08BA" w:rsidRDefault="002C08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Plattetekst"/>
      <w:spacing w:line="14" w:lineRule="auto"/>
      <w:rPr>
        <w:sz w:val="20"/>
      </w:rPr>
    </w:pPr>
    <w:r>
      <w:rPr>
        <w:noProof/>
        <w:lang w:val="nl-BE" w:eastAsia="nl-BE"/>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nl-BE" w:eastAsia="nl-BE"/>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nl-BE" w:eastAsia="nl-BE"/>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C08BA" w:rsidRDefault="002C08BA">
      <w:r>
        <w:separator/>
      </w:r>
    </w:p>
  </w:footnote>
  <w:footnote w:type="continuationSeparator" w:id="0">
    <w:p w:rsidR="002C08BA" w:rsidRDefault="002C08B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AE3E37">
    <w:pPr>
      <w:pStyle w:val="Plattetekst"/>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052F0"/>
    <w:rsid w:val="000844FD"/>
    <w:rsid w:val="000C329C"/>
    <w:rsid w:val="000C7701"/>
    <w:rsid w:val="000E2911"/>
    <w:rsid w:val="001263DF"/>
    <w:rsid w:val="001E358A"/>
    <w:rsid w:val="002041C9"/>
    <w:rsid w:val="00292ED9"/>
    <w:rsid w:val="002C08BA"/>
    <w:rsid w:val="00404E5B"/>
    <w:rsid w:val="00414F7B"/>
    <w:rsid w:val="004355DC"/>
    <w:rsid w:val="004749B4"/>
    <w:rsid w:val="00494130"/>
    <w:rsid w:val="004F3523"/>
    <w:rsid w:val="005973B9"/>
    <w:rsid w:val="005B3A56"/>
    <w:rsid w:val="006060CE"/>
    <w:rsid w:val="0063497F"/>
    <w:rsid w:val="00643354"/>
    <w:rsid w:val="006771E3"/>
    <w:rsid w:val="006D2A16"/>
    <w:rsid w:val="00802E3F"/>
    <w:rsid w:val="00830E07"/>
    <w:rsid w:val="00873DF0"/>
    <w:rsid w:val="008756E6"/>
    <w:rsid w:val="00925236"/>
    <w:rsid w:val="009B2D44"/>
    <w:rsid w:val="00A07E82"/>
    <w:rsid w:val="00A83D3D"/>
    <w:rsid w:val="00A9710C"/>
    <w:rsid w:val="00AE3E37"/>
    <w:rsid w:val="00B21A57"/>
    <w:rsid w:val="00B8420F"/>
    <w:rsid w:val="00B91720"/>
    <w:rsid w:val="00C33602"/>
    <w:rsid w:val="00C80848"/>
    <w:rsid w:val="00CA29DB"/>
    <w:rsid w:val="00CD6F55"/>
    <w:rsid w:val="00DE3104"/>
    <w:rsid w:val="00E752B4"/>
    <w:rsid w:val="00E92EAF"/>
    <w:rsid w:val="00F55252"/>
    <w:rsid w:val="00F72EEA"/>
    <w:rsid w:val="00F84CAE"/>
    <w:rsid w:val="00F945C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2820D51-C2BB-4AC8-A2EE-AE82EE794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uiPriority w:val="1"/>
    <w:qFormat/>
    <w:rsid w:val="00CD6F55"/>
    <w:rPr>
      <w:rFonts w:ascii="Tw Cen MT" w:eastAsia="Tw Cen MT" w:hAnsi="Tw Cen MT" w:cs="Tw Cen MT"/>
    </w:rPr>
  </w:style>
  <w:style w:type="paragraph" w:styleId="Kop1">
    <w:name w:val="heading 1"/>
    <w:basedOn w:val="Standaard"/>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Kop2">
    <w:name w:val="heading 2"/>
    <w:basedOn w:val="Standaard"/>
    <w:uiPriority w:val="1"/>
    <w:qFormat/>
    <w:rsid w:val="00CD6F55"/>
    <w:pPr>
      <w:ind w:left="100"/>
      <w:outlineLvl w:val="1"/>
    </w:pPr>
    <w:rPr>
      <w:rFonts w:ascii="Minion Pro" w:eastAsia="Minion Pro" w:hAnsi="Minion Pro" w:cs="Minion Pro"/>
      <w:sz w:val="24"/>
      <w:szCs w:val="24"/>
    </w:rPr>
  </w:style>
  <w:style w:type="paragraph" w:styleId="Kop3">
    <w:name w:val="heading 3"/>
    <w:basedOn w:val="Standaard"/>
    <w:uiPriority w:val="1"/>
    <w:qFormat/>
    <w:rsid w:val="00CD6F55"/>
    <w:pPr>
      <w:ind w:left="100"/>
      <w:outlineLvl w:val="2"/>
    </w:pPr>
    <w:rPr>
      <w:rFonts w:ascii="Arial" w:eastAsia="Arial" w:hAnsi="Arial" w:cs="Arial"/>
      <w:b/>
      <w:bCs/>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link w:val="PlattetekstChar"/>
    <w:uiPriority w:val="1"/>
    <w:qFormat/>
    <w:rsid w:val="00CD6F55"/>
    <w:rPr>
      <w:sz w:val="18"/>
      <w:szCs w:val="18"/>
    </w:rPr>
  </w:style>
  <w:style w:type="paragraph" w:styleId="Lijstalinea">
    <w:name w:val="List Paragraph"/>
    <w:basedOn w:val="Standaard"/>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Standaard"/>
    <w:uiPriority w:val="1"/>
    <w:qFormat/>
    <w:rsid w:val="00CD6F55"/>
  </w:style>
  <w:style w:type="paragraph" w:styleId="Koptekst">
    <w:name w:val="header"/>
    <w:basedOn w:val="Standaard"/>
    <w:link w:val="KoptekstChar"/>
    <w:uiPriority w:val="99"/>
    <w:unhideWhenUsed/>
    <w:rsid w:val="005B3A56"/>
    <w:pPr>
      <w:tabs>
        <w:tab w:val="center" w:pos="4513"/>
        <w:tab w:val="right" w:pos="9026"/>
      </w:tabs>
    </w:pPr>
  </w:style>
  <w:style w:type="character" w:customStyle="1" w:styleId="KoptekstChar">
    <w:name w:val="Koptekst Char"/>
    <w:basedOn w:val="Standaardalinea-lettertype"/>
    <w:link w:val="Koptekst"/>
    <w:uiPriority w:val="99"/>
    <w:rsid w:val="005B3A56"/>
    <w:rPr>
      <w:rFonts w:ascii="Tw Cen MT" w:eastAsia="Tw Cen MT" w:hAnsi="Tw Cen MT" w:cs="Tw Cen MT"/>
    </w:rPr>
  </w:style>
  <w:style w:type="paragraph" w:styleId="Voettekst">
    <w:name w:val="footer"/>
    <w:basedOn w:val="Standaard"/>
    <w:link w:val="VoettekstChar"/>
    <w:uiPriority w:val="99"/>
    <w:unhideWhenUsed/>
    <w:rsid w:val="005B3A56"/>
    <w:pPr>
      <w:tabs>
        <w:tab w:val="center" w:pos="4513"/>
        <w:tab w:val="right" w:pos="9026"/>
      </w:tabs>
    </w:pPr>
  </w:style>
  <w:style w:type="character" w:customStyle="1" w:styleId="VoettekstChar">
    <w:name w:val="Voettekst Char"/>
    <w:basedOn w:val="Standaardalinea-lettertype"/>
    <w:link w:val="Voettekst"/>
    <w:uiPriority w:val="99"/>
    <w:rsid w:val="005B3A56"/>
    <w:rPr>
      <w:rFonts w:ascii="Tw Cen MT" w:eastAsia="Tw Cen MT" w:hAnsi="Tw Cen MT" w:cs="Tw Cen MT"/>
    </w:rPr>
  </w:style>
  <w:style w:type="paragraph" w:styleId="Ballontekst">
    <w:name w:val="Balloon Text"/>
    <w:basedOn w:val="Standaard"/>
    <w:link w:val="BallontekstChar"/>
    <w:uiPriority w:val="99"/>
    <w:semiHidden/>
    <w:unhideWhenUsed/>
    <w:rsid w:val="004F3523"/>
    <w:rPr>
      <w:rFonts w:ascii="Tahoma" w:hAnsi="Tahoma" w:cs="Tahoma"/>
      <w:sz w:val="16"/>
      <w:szCs w:val="16"/>
    </w:rPr>
  </w:style>
  <w:style w:type="character" w:customStyle="1" w:styleId="BallontekstChar">
    <w:name w:val="Ballontekst Char"/>
    <w:basedOn w:val="Standaardalinea-lettertype"/>
    <w:link w:val="Ballontekst"/>
    <w:uiPriority w:val="99"/>
    <w:semiHidden/>
    <w:rsid w:val="004F3523"/>
    <w:rPr>
      <w:rFonts w:ascii="Tahoma" w:eastAsia="Tw Cen MT" w:hAnsi="Tahoma" w:cs="Tahoma"/>
      <w:sz w:val="16"/>
      <w:szCs w:val="16"/>
    </w:rPr>
  </w:style>
  <w:style w:type="character" w:styleId="Hyperlink">
    <w:name w:val="Hyperlink"/>
    <w:basedOn w:val="Standaardalinea-lettertype"/>
    <w:uiPriority w:val="99"/>
    <w:unhideWhenUsed/>
    <w:rsid w:val="008756E6"/>
    <w:rPr>
      <w:color w:val="0000FF" w:themeColor="hyperlink"/>
      <w:u w:val="single"/>
    </w:rPr>
  </w:style>
  <w:style w:type="character" w:customStyle="1" w:styleId="PlattetekstChar">
    <w:name w:val="Platte tekst Char"/>
    <w:basedOn w:val="Standaardalinea-lettertype"/>
    <w:link w:val="Platteteks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pieter.samyn@outlook.be"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2</Pages>
  <Words>693</Words>
  <Characters>3813</Characters>
  <Application>Microsoft Office Word</Application>
  <DocSecurity>0</DocSecurity>
  <Lines>31</Lines>
  <Paragraphs>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4498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 s7825</cp:lastModifiedBy>
  <cp:revision>15</cp:revision>
  <dcterms:created xsi:type="dcterms:W3CDTF">2022-02-15T20:38:00Z</dcterms:created>
  <dcterms:modified xsi:type="dcterms:W3CDTF">2022-02-15T21:05:00Z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