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34518F" w14:textId="77777777" w:rsidR="000E2289" w:rsidRPr="000E2289" w:rsidRDefault="000E2289" w:rsidP="000E2289">
      <w:pPr>
        <w:spacing w:after="0" w:line="240" w:lineRule="auto"/>
        <w:jc w:val="center"/>
        <w:rPr>
          <w:rFonts w:ascii="Times New Roman" w:eastAsia="E-B3" w:hAnsi="Times New Roman" w:cs="Times New Roman"/>
          <w:b/>
          <w:sz w:val="24"/>
          <w:szCs w:val="24"/>
        </w:rPr>
      </w:pPr>
      <w:bookmarkStart w:id="0" w:name="_Hlk15393307"/>
      <w:r w:rsidRPr="000E2289">
        <w:rPr>
          <w:rFonts w:ascii="Times New Roman" w:eastAsia="E-B3" w:hAnsi="Times New Roman" w:cs="Times New Roman"/>
          <w:b/>
          <w:sz w:val="24"/>
          <w:szCs w:val="24"/>
        </w:rPr>
        <w:t xml:space="preserve">Toxicity evaluation of hexaconazole controlled release formulations in field pea (Pisum sativum) against powdery mildew by laboratory bioassay and field efficacy </w:t>
      </w:r>
    </w:p>
    <w:p w14:paraId="2429CE57" w14:textId="77777777" w:rsidR="000E2289" w:rsidRPr="000E2289" w:rsidRDefault="000E2289" w:rsidP="000E2289">
      <w:pPr>
        <w:spacing w:after="0" w:line="240" w:lineRule="auto"/>
        <w:jc w:val="center"/>
        <w:rPr>
          <w:rFonts w:ascii="Times New Roman" w:eastAsia="E-B3" w:hAnsi="Times New Roman" w:cs="Times New Roman"/>
          <w:b/>
          <w:sz w:val="24"/>
          <w:szCs w:val="24"/>
        </w:rPr>
      </w:pPr>
    </w:p>
    <w:bookmarkEnd w:id="0"/>
    <w:p w14:paraId="72DDAEF4" w14:textId="77777777" w:rsidR="000E2289" w:rsidRPr="000E2289" w:rsidRDefault="000E2289" w:rsidP="000E2289">
      <w:pPr>
        <w:autoSpaceDE w:val="0"/>
        <w:autoSpaceDN w:val="0"/>
        <w:adjustRightInd w:val="0"/>
        <w:spacing w:after="0" w:line="240" w:lineRule="auto"/>
        <w:jc w:val="center"/>
        <w:rPr>
          <w:rFonts w:ascii="Times New Roman" w:eastAsia="Times New Roman" w:hAnsi="Times New Roman" w:cs="Times New Roman"/>
          <w:b/>
          <w:sz w:val="24"/>
          <w:szCs w:val="24"/>
        </w:rPr>
      </w:pPr>
      <w:r w:rsidRPr="000E2289">
        <w:rPr>
          <w:rFonts w:ascii="Times New Roman" w:eastAsia="Times New Roman" w:hAnsi="Times New Roman" w:cs="Times New Roman"/>
          <w:b/>
          <w:sz w:val="24"/>
          <w:szCs w:val="24"/>
          <w:vertAlign w:val="superscript"/>
        </w:rPr>
        <w:t>1*</w:t>
      </w:r>
      <w:r w:rsidRPr="000E2289">
        <w:rPr>
          <w:rFonts w:ascii="Times New Roman" w:eastAsia="Times New Roman" w:hAnsi="Times New Roman" w:cs="Times New Roman"/>
          <w:b/>
          <w:sz w:val="24"/>
          <w:szCs w:val="24"/>
        </w:rPr>
        <w:t>Vinayak Kamble, Manohar Sawant, Prakash Mahanwar</w:t>
      </w:r>
    </w:p>
    <w:p w14:paraId="3D8DAE31" w14:textId="77777777" w:rsidR="000E2289" w:rsidRPr="000E2289" w:rsidRDefault="000E2289" w:rsidP="000E2289">
      <w:pPr>
        <w:autoSpaceDE w:val="0"/>
        <w:autoSpaceDN w:val="0"/>
        <w:adjustRightInd w:val="0"/>
        <w:spacing w:after="0" w:line="240" w:lineRule="auto"/>
        <w:rPr>
          <w:rFonts w:ascii="Times New Roman" w:eastAsia="Times New Roman" w:hAnsi="Times New Roman" w:cs="Times New Roman"/>
          <w:bCs/>
          <w:color w:val="000000"/>
          <w:sz w:val="24"/>
          <w:szCs w:val="24"/>
        </w:rPr>
      </w:pPr>
    </w:p>
    <w:p w14:paraId="7F6068D6" w14:textId="77777777" w:rsidR="000E2289" w:rsidRPr="000E2289" w:rsidRDefault="000E2289" w:rsidP="000E2289">
      <w:pPr>
        <w:autoSpaceDE w:val="0"/>
        <w:autoSpaceDN w:val="0"/>
        <w:adjustRightInd w:val="0"/>
        <w:spacing w:after="0" w:line="276" w:lineRule="auto"/>
        <w:rPr>
          <w:rFonts w:ascii="Times New Roman" w:eastAsia="Times New Roman" w:hAnsi="Times New Roman" w:cs="Times New Roman"/>
          <w:bCs/>
          <w:color w:val="000000"/>
          <w:sz w:val="24"/>
          <w:szCs w:val="24"/>
        </w:rPr>
      </w:pPr>
      <w:r w:rsidRPr="000E2289">
        <w:rPr>
          <w:rFonts w:ascii="Times New Roman" w:eastAsia="Times New Roman" w:hAnsi="Times New Roman" w:cs="Times New Roman"/>
          <w:bCs/>
          <w:color w:val="000000"/>
          <w:sz w:val="24"/>
          <w:szCs w:val="24"/>
          <w:vertAlign w:val="superscript"/>
        </w:rPr>
        <w:t>1</w:t>
      </w:r>
      <w:r w:rsidRPr="000E2289">
        <w:rPr>
          <w:rFonts w:ascii="Times New Roman" w:eastAsia="Times New Roman" w:hAnsi="Times New Roman" w:cs="Times New Roman"/>
          <w:bCs/>
          <w:color w:val="000000"/>
          <w:sz w:val="24"/>
          <w:szCs w:val="24"/>
        </w:rPr>
        <w:t>Department of Polymer &amp; Surface Engineering, Institute of Chemical Technology, Matunga, Mumbai-400019, Maharashtra, India.</w:t>
      </w:r>
    </w:p>
    <w:p w14:paraId="75734479" w14:textId="77777777" w:rsidR="000E2289" w:rsidRPr="000E2289" w:rsidRDefault="000E2289" w:rsidP="005E12B2">
      <w:pPr>
        <w:spacing w:before="240" w:line="480" w:lineRule="auto"/>
        <w:jc w:val="both"/>
        <w:rPr>
          <w:rFonts w:ascii="Times New Roman" w:hAnsi="Times New Roman" w:cs="Times New Roman"/>
          <w:b/>
          <w:iCs/>
          <w:sz w:val="24"/>
          <w:szCs w:val="24"/>
          <w:lang w:val="en-IN"/>
        </w:rPr>
      </w:pPr>
    </w:p>
    <w:p w14:paraId="720AB865" w14:textId="77777777" w:rsidR="005E12B2" w:rsidRPr="000E2289" w:rsidRDefault="005E12B2" w:rsidP="005E12B2">
      <w:pPr>
        <w:spacing w:before="240" w:after="0" w:line="480" w:lineRule="auto"/>
        <w:jc w:val="both"/>
        <w:rPr>
          <w:rFonts w:ascii="Times New Roman" w:hAnsi="Times New Roman" w:cs="Times New Roman"/>
          <w:b/>
          <w:iCs/>
          <w:sz w:val="24"/>
          <w:szCs w:val="24"/>
          <w:lang w:val="en-IN"/>
        </w:rPr>
      </w:pPr>
      <w:r w:rsidRPr="000E2289">
        <w:rPr>
          <w:rFonts w:ascii="Times New Roman" w:hAnsi="Times New Roman" w:cs="Times New Roman"/>
          <w:b/>
          <w:iCs/>
          <w:sz w:val="24"/>
          <w:szCs w:val="24"/>
          <w:lang w:val="en-IN"/>
        </w:rPr>
        <w:t>Abstract</w:t>
      </w:r>
    </w:p>
    <w:p w14:paraId="205100BE" w14:textId="77777777" w:rsidR="005E12B2" w:rsidRPr="000E2289" w:rsidRDefault="005E12B2" w:rsidP="005E12B2">
      <w:pPr>
        <w:spacing w:before="240" w:after="0" w:line="480" w:lineRule="auto"/>
        <w:jc w:val="both"/>
        <w:rPr>
          <w:rFonts w:ascii="Times New Roman" w:hAnsi="Times New Roman" w:cs="Times New Roman"/>
          <w:iCs/>
          <w:sz w:val="24"/>
          <w:szCs w:val="24"/>
          <w:lang w:val="en-IN"/>
        </w:rPr>
      </w:pPr>
      <w:r w:rsidRPr="000E2289">
        <w:rPr>
          <w:rFonts w:ascii="Times New Roman" w:hAnsi="Times New Roman" w:cs="Times New Roman"/>
          <w:bCs/>
          <w:iCs/>
          <w:sz w:val="24"/>
          <w:szCs w:val="24"/>
          <w:lang w:val="en-IN"/>
        </w:rPr>
        <w:t xml:space="preserve">Hexaconazole, a triazole systematic fungicide highly efficient against ascomycetes, basidiomycetes, </w:t>
      </w:r>
      <w:r w:rsidRPr="000E2289">
        <w:rPr>
          <w:rFonts w:ascii="Times New Roman" w:hAnsi="Times New Roman" w:cs="Times New Roman"/>
          <w:bCs/>
          <w:iCs/>
          <w:noProof/>
          <w:sz w:val="24"/>
          <w:szCs w:val="24"/>
          <w:lang w:val="en-IN"/>
        </w:rPr>
        <w:t>and</w:t>
      </w:r>
      <w:r w:rsidRPr="000E2289">
        <w:rPr>
          <w:rFonts w:ascii="Times New Roman" w:hAnsi="Times New Roman" w:cs="Times New Roman"/>
          <w:bCs/>
          <w:iCs/>
          <w:sz w:val="24"/>
          <w:szCs w:val="24"/>
          <w:lang w:val="en-IN"/>
        </w:rPr>
        <w:t xml:space="preserve"> imperfect fungi and widely used to control the fungal pathogens on a variety of crops and fruits. In the present study, hexaconazole was microencapsulated and controlled release performance was studied in laboratory and field experiment. Morphology and characteristics properties were investigated by the Fourier Transform Infrared (FTIR) Spectroscopy, dynamic light scattering (DLS), </w:t>
      </w:r>
      <w:r w:rsidRPr="000E2289">
        <w:rPr>
          <w:rFonts w:ascii="Times New Roman" w:eastAsia="Calibri" w:hAnsi="Times New Roman" w:cs="Times New Roman"/>
          <w:sz w:val="24"/>
          <w:szCs w:val="24"/>
          <w:lang w:val="en-IN"/>
        </w:rPr>
        <w:t>scanning electron microscopy</w:t>
      </w:r>
      <w:r w:rsidRPr="000E2289">
        <w:rPr>
          <w:rFonts w:ascii="Times New Roman" w:hAnsi="Times New Roman" w:cs="Times New Roman"/>
          <w:bCs/>
          <w:iCs/>
          <w:sz w:val="24"/>
          <w:szCs w:val="24"/>
          <w:lang w:val="en-IN"/>
        </w:rPr>
        <w:t xml:space="preserve"> (SEM), energy dispersive x-ray spectroscopy (EDS) and </w:t>
      </w:r>
      <w:r w:rsidRPr="000E2289">
        <w:rPr>
          <w:rFonts w:ascii="Times New Roman" w:hAnsi="Times New Roman" w:cs="Times New Roman"/>
          <w:bCs/>
          <w:iCs/>
          <w:noProof/>
          <w:sz w:val="24"/>
          <w:szCs w:val="24"/>
          <w:lang w:val="en-IN"/>
        </w:rPr>
        <w:t>Optical</w:t>
      </w:r>
      <w:r w:rsidRPr="000E2289">
        <w:rPr>
          <w:rFonts w:ascii="Times New Roman" w:hAnsi="Times New Roman" w:cs="Times New Roman"/>
          <w:bCs/>
          <w:iCs/>
          <w:sz w:val="24"/>
          <w:szCs w:val="24"/>
          <w:lang w:val="en-IN"/>
        </w:rPr>
        <w:t xml:space="preserve"> Microscopy. The controlled release rate and release kinetics </w:t>
      </w:r>
      <w:r w:rsidRPr="000E2289">
        <w:rPr>
          <w:rFonts w:ascii="Times New Roman" w:hAnsi="Times New Roman" w:cs="Times New Roman"/>
          <w:bCs/>
          <w:iCs/>
          <w:noProof/>
          <w:sz w:val="24"/>
          <w:szCs w:val="24"/>
          <w:lang w:val="en-IN"/>
        </w:rPr>
        <w:t>were</w:t>
      </w:r>
      <w:r w:rsidRPr="000E2289">
        <w:rPr>
          <w:rFonts w:ascii="Times New Roman" w:hAnsi="Times New Roman" w:cs="Times New Roman"/>
          <w:bCs/>
          <w:iCs/>
          <w:sz w:val="24"/>
          <w:szCs w:val="24"/>
          <w:lang w:val="en-IN"/>
        </w:rPr>
        <w:t xml:space="preserve"> studied by applying the </w:t>
      </w:r>
      <w:r w:rsidRPr="000E2289">
        <w:rPr>
          <w:rFonts w:ascii="Times New Roman" w:eastAsia="Calibri" w:hAnsi="Times New Roman" w:cs="Times New Roman"/>
          <w:noProof/>
          <w:sz w:val="24"/>
          <w:szCs w:val="24"/>
        </w:rPr>
        <w:t>Korsmeyer</w:t>
      </w:r>
      <w:r w:rsidRPr="000E2289">
        <w:rPr>
          <w:rFonts w:ascii="Times New Roman" w:eastAsia="Calibri" w:hAnsi="Times New Roman" w:cs="Times New Roman"/>
          <w:sz w:val="24"/>
          <w:szCs w:val="24"/>
        </w:rPr>
        <w:t xml:space="preserve">–Peppas model. The obtained microcapsules have excellent encapsulation efficiency (up to 96%) and controlled release properties for the extended period of time (33% release of hexaconazole in 30 days). The release properties can be altered by the altering the polymer to active agent loading. Also, the encapsulation increases the stability of the hexaconazole and remains in the capsules for a </w:t>
      </w:r>
      <w:r w:rsidRPr="000E2289">
        <w:rPr>
          <w:rFonts w:ascii="Times New Roman" w:eastAsia="Calibri" w:hAnsi="Times New Roman" w:cs="Times New Roman"/>
          <w:noProof/>
          <w:sz w:val="24"/>
          <w:szCs w:val="24"/>
        </w:rPr>
        <w:t>longer</w:t>
      </w:r>
      <w:r w:rsidRPr="000E2289">
        <w:rPr>
          <w:rFonts w:ascii="Times New Roman" w:eastAsia="Calibri" w:hAnsi="Times New Roman" w:cs="Times New Roman"/>
          <w:sz w:val="24"/>
          <w:szCs w:val="24"/>
        </w:rPr>
        <w:t xml:space="preserve"> time. </w:t>
      </w:r>
      <w:r w:rsidRPr="000E2289">
        <w:rPr>
          <w:rFonts w:ascii="Times New Roman" w:eastAsia="Calibri" w:hAnsi="Times New Roman" w:cs="Times New Roman"/>
          <w:noProof/>
          <w:sz w:val="24"/>
          <w:szCs w:val="24"/>
        </w:rPr>
        <w:t>Compared</w:t>
      </w:r>
      <w:r w:rsidRPr="000E2289">
        <w:rPr>
          <w:rFonts w:ascii="Times New Roman" w:eastAsia="Calibri" w:hAnsi="Times New Roman" w:cs="Times New Roman"/>
          <w:sz w:val="24"/>
          <w:szCs w:val="24"/>
        </w:rPr>
        <w:t xml:space="preserve"> to hexaconazole-EC and technical hexaconazole, microencapsulation results in the </w:t>
      </w:r>
      <w:r w:rsidRPr="000E2289">
        <w:rPr>
          <w:rFonts w:ascii="Times New Roman" w:eastAsia="Calibri" w:hAnsi="Times New Roman" w:cs="Times New Roman"/>
          <w:noProof/>
          <w:sz w:val="24"/>
          <w:szCs w:val="24"/>
        </w:rPr>
        <w:t>longer</w:t>
      </w:r>
      <w:r w:rsidRPr="000E2289">
        <w:rPr>
          <w:rFonts w:ascii="Times New Roman" w:eastAsia="Calibri" w:hAnsi="Times New Roman" w:cs="Times New Roman"/>
          <w:sz w:val="24"/>
          <w:szCs w:val="24"/>
        </w:rPr>
        <w:t xml:space="preserve"> durability of hexaconazole and hence reduced in the </w:t>
      </w:r>
      <w:r w:rsidRPr="000E2289">
        <w:rPr>
          <w:rFonts w:ascii="Times New Roman" w:eastAsia="Calibri" w:hAnsi="Times New Roman" w:cs="Times New Roman"/>
          <w:noProof/>
          <w:sz w:val="24"/>
          <w:szCs w:val="24"/>
        </w:rPr>
        <w:t>repeated</w:t>
      </w:r>
      <w:r w:rsidRPr="000E2289">
        <w:rPr>
          <w:rFonts w:ascii="Times New Roman" w:eastAsia="Calibri" w:hAnsi="Times New Roman" w:cs="Times New Roman"/>
          <w:sz w:val="24"/>
          <w:szCs w:val="24"/>
        </w:rPr>
        <w:t xml:space="preserve"> applications. </w:t>
      </w:r>
      <w:r w:rsidRPr="000E2289">
        <w:rPr>
          <w:rFonts w:ascii="Times New Roman" w:hAnsi="Times New Roman" w:cs="Times New Roman"/>
          <w:sz w:val="24"/>
          <w:szCs w:val="24"/>
        </w:rPr>
        <w:t xml:space="preserve">The lethal concentration of the hexaconazole to control the 50% colony growth inhibition was observed to be 0.435 and 0.489 mg a.i./L for </w:t>
      </w:r>
      <w:r w:rsidRPr="000E2289">
        <w:rPr>
          <w:rFonts w:ascii="Times New Roman" w:hAnsi="Times New Roman" w:cs="Times New Roman"/>
          <w:i/>
          <w:iCs/>
          <w:sz w:val="24"/>
          <w:szCs w:val="24"/>
        </w:rPr>
        <w:t>A. Solani</w:t>
      </w:r>
      <w:r w:rsidRPr="000E2289">
        <w:rPr>
          <w:rFonts w:ascii="Times New Roman" w:hAnsi="Times New Roman" w:cs="Times New Roman"/>
          <w:sz w:val="24"/>
          <w:szCs w:val="24"/>
        </w:rPr>
        <w:t xml:space="preserve"> and </w:t>
      </w:r>
      <w:r w:rsidRPr="000E2289">
        <w:rPr>
          <w:rFonts w:ascii="Times New Roman" w:hAnsi="Times New Roman" w:cs="Times New Roman"/>
          <w:i/>
          <w:iCs/>
          <w:sz w:val="24"/>
          <w:szCs w:val="24"/>
        </w:rPr>
        <w:t>S. Rolfsii</w:t>
      </w:r>
      <w:r w:rsidRPr="000E2289">
        <w:rPr>
          <w:rFonts w:ascii="Times New Roman" w:hAnsi="Times New Roman" w:cs="Times New Roman"/>
          <w:sz w:val="24"/>
          <w:szCs w:val="24"/>
        </w:rPr>
        <w:t>, respectively.</w:t>
      </w:r>
    </w:p>
    <w:p w14:paraId="01CF6823" w14:textId="74FE24C9" w:rsidR="009F5B65" w:rsidRPr="000E2289" w:rsidRDefault="005E12B2" w:rsidP="000E2289">
      <w:pPr>
        <w:spacing w:before="240" w:after="0" w:line="480" w:lineRule="auto"/>
        <w:jc w:val="both"/>
        <w:rPr>
          <w:rFonts w:ascii="Times New Roman" w:hAnsi="Times New Roman" w:cs="Times New Roman"/>
          <w:sz w:val="24"/>
          <w:szCs w:val="24"/>
        </w:rPr>
      </w:pPr>
      <w:r w:rsidRPr="000E2289">
        <w:rPr>
          <w:rFonts w:ascii="Times New Roman" w:hAnsi="Times New Roman" w:cs="Times New Roman"/>
          <w:bCs/>
          <w:iCs/>
          <w:sz w:val="24"/>
          <w:szCs w:val="24"/>
          <w:lang w:val="en-IN"/>
        </w:rPr>
        <w:t>Keywords: Bioefficacy; Controlled release; Hexaconazole; Interfacial polymerization; Microencapsulation; Polyurea.</w:t>
      </w:r>
      <w:bookmarkStart w:id="1" w:name="_GoBack"/>
      <w:bookmarkEnd w:id="1"/>
    </w:p>
    <w:sectPr w:rsidR="009F5B65" w:rsidRPr="000E22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E-B3">
    <w:altName w:val="Arial Unicode MS"/>
    <w:panose1 w:val="00000000000000000000"/>
    <w:charset w:val="86"/>
    <w:family w:val="auto"/>
    <w:notTrueType/>
    <w:pitch w:val="default"/>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02D"/>
    <w:rsid w:val="000E2289"/>
    <w:rsid w:val="005E12B2"/>
    <w:rsid w:val="009F5B65"/>
    <w:rsid w:val="00DA402D"/>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88A61"/>
  <w15:chartTrackingRefBased/>
  <w15:docId w15:val="{549CBBBC-E4D2-4A42-A3E6-185CB3196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mr-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2B2"/>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523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283</Words>
  <Characters>1619</Characters>
  <Application>Microsoft Office Word</Application>
  <DocSecurity>0</DocSecurity>
  <Lines>13</Lines>
  <Paragraphs>3</Paragraphs>
  <ScaleCrop>false</ScaleCrop>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Vinayak Kamble</dc:creator>
  <cp:keywords/>
  <dc:description/>
  <cp:lastModifiedBy>Vinayak Kamble</cp:lastModifiedBy>
  <cp:revision>3</cp:revision>
  <dcterms:created xsi:type="dcterms:W3CDTF">2019-09-14T11:20:00Z</dcterms:created>
  <dcterms:modified xsi:type="dcterms:W3CDTF">2020-02-21T07:02:00Z</dcterms:modified>
</cp:coreProperties>
</file>