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65C" w:rsidRDefault="007B065C" w:rsidP="007B065C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FE493E">
        <w:rPr>
          <w:rFonts w:ascii="OpenSans-Regular" w:hAnsi="OpenSans-Regular" w:cs="OpenSans-Regular"/>
          <w:noProof/>
          <w:color w:val="3F51B6"/>
          <w:sz w:val="22"/>
          <w:szCs w:val="22"/>
          <w:lang w:val="ru-RU" w:eastAsia="ru-RU"/>
        </w:rPr>
        <w:drawing>
          <wp:inline distT="0" distB="0" distL="0" distR="0">
            <wp:extent cx="1053693" cy="1173392"/>
            <wp:effectExtent l="19050" t="0" r="0" b="0"/>
            <wp:docPr id="3" name="Рисунок 3" descr="Крыл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Крылов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535" cy="11732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359E" w:rsidRDefault="0041359E" w:rsidP="0041359E">
      <w:pPr>
        <w:rPr>
          <w:rFonts w:eastAsia="MS PGothic"/>
          <w:b/>
          <w:color w:val="000000"/>
          <w:sz w:val="28"/>
          <w:szCs w:val="28"/>
        </w:rPr>
      </w:pPr>
      <w:r w:rsidRPr="000C749B">
        <w:rPr>
          <w:color w:val="000000"/>
          <w:sz w:val="28"/>
          <w:szCs w:val="28"/>
          <w:shd w:val="clear" w:color="auto" w:fill="FFFFFF"/>
          <w:lang w:val="en-US"/>
        </w:rPr>
        <w:t xml:space="preserve">High </w:t>
      </w:r>
      <w:r>
        <w:rPr>
          <w:color w:val="000000"/>
          <w:sz w:val="28"/>
          <w:szCs w:val="28"/>
          <w:shd w:val="clear" w:color="auto" w:fill="FFFFFF"/>
          <w:lang w:val="en-US"/>
        </w:rPr>
        <w:t>S</w:t>
      </w:r>
      <w:r w:rsidRPr="000C749B">
        <w:rPr>
          <w:color w:val="000000"/>
          <w:sz w:val="28"/>
          <w:szCs w:val="28"/>
          <w:shd w:val="clear" w:color="auto" w:fill="FFFFFF"/>
          <w:lang w:val="en-US"/>
        </w:rPr>
        <w:t>ensitive </w:t>
      </w:r>
      <w:r>
        <w:rPr>
          <w:color w:val="000000"/>
          <w:sz w:val="28"/>
          <w:szCs w:val="28"/>
          <w:shd w:val="clear" w:color="auto" w:fill="FFFFFF"/>
          <w:lang w:val="en-US"/>
        </w:rPr>
        <w:t>GC-MS D</w:t>
      </w:r>
      <w:r w:rsidRPr="000C749B">
        <w:rPr>
          <w:color w:val="000000"/>
          <w:sz w:val="28"/>
          <w:szCs w:val="28"/>
          <w:shd w:val="clear" w:color="auto" w:fill="FFFFFF"/>
          <w:lang w:val="en-US"/>
        </w:rPr>
        <w:t>etermination </w:t>
      </w:r>
      <w:r w:rsidRPr="000C749B">
        <w:rPr>
          <w:color w:val="333333"/>
          <w:sz w:val="28"/>
          <w:szCs w:val="28"/>
          <w:shd w:val="clear" w:color="auto" w:fill="FFFFFF"/>
          <w:lang w:val="en-US"/>
        </w:rPr>
        <w:t xml:space="preserve">of </w:t>
      </w:r>
      <w:r>
        <w:rPr>
          <w:color w:val="333333"/>
          <w:sz w:val="28"/>
          <w:szCs w:val="28"/>
          <w:shd w:val="clear" w:color="auto" w:fill="FFFFFF"/>
          <w:lang w:val="en-US"/>
        </w:rPr>
        <w:t>P</w:t>
      </w:r>
      <w:r w:rsidRPr="000C749B">
        <w:rPr>
          <w:color w:val="333333"/>
          <w:sz w:val="28"/>
          <w:szCs w:val="28"/>
          <w:shd w:val="clear" w:color="auto" w:fill="FFFFFF"/>
          <w:lang w:val="en-US"/>
        </w:rPr>
        <w:t xml:space="preserve">olycyclic </w:t>
      </w:r>
      <w:r>
        <w:rPr>
          <w:color w:val="333333"/>
          <w:sz w:val="28"/>
          <w:szCs w:val="28"/>
          <w:shd w:val="clear" w:color="auto" w:fill="FFFFFF"/>
          <w:lang w:val="en-US"/>
        </w:rPr>
        <w:t>A</w:t>
      </w:r>
      <w:r w:rsidRPr="000C749B">
        <w:rPr>
          <w:color w:val="333333"/>
          <w:sz w:val="28"/>
          <w:szCs w:val="28"/>
          <w:shd w:val="clear" w:color="auto" w:fill="FFFFFF"/>
          <w:lang w:val="en-US"/>
        </w:rPr>
        <w:t xml:space="preserve">romatic </w:t>
      </w:r>
      <w:r>
        <w:rPr>
          <w:color w:val="333333"/>
          <w:sz w:val="28"/>
          <w:szCs w:val="28"/>
          <w:shd w:val="clear" w:color="auto" w:fill="FFFFFF"/>
          <w:lang w:val="en-US"/>
        </w:rPr>
        <w:t>H</w:t>
      </w:r>
      <w:r w:rsidRPr="000C749B">
        <w:rPr>
          <w:color w:val="333333"/>
          <w:sz w:val="28"/>
          <w:szCs w:val="28"/>
          <w:shd w:val="clear" w:color="auto" w:fill="FFFFFF"/>
          <w:lang w:val="en-US"/>
        </w:rPr>
        <w:t xml:space="preserve">ydrocarbons in </w:t>
      </w:r>
      <w:r>
        <w:rPr>
          <w:color w:val="333333"/>
          <w:sz w:val="28"/>
          <w:szCs w:val="28"/>
          <w:shd w:val="clear" w:color="auto" w:fill="FFFFFF"/>
          <w:lang w:val="en-US"/>
        </w:rPr>
        <w:t>W</w:t>
      </w:r>
      <w:r w:rsidRPr="000C749B">
        <w:rPr>
          <w:color w:val="333333"/>
          <w:sz w:val="28"/>
          <w:szCs w:val="28"/>
          <w:shd w:val="clear" w:color="auto" w:fill="FFFFFF"/>
          <w:lang w:val="en-US"/>
        </w:rPr>
        <w:t xml:space="preserve">ater </w:t>
      </w:r>
      <w:r>
        <w:rPr>
          <w:color w:val="333333"/>
          <w:sz w:val="28"/>
          <w:szCs w:val="28"/>
          <w:shd w:val="clear" w:color="auto" w:fill="FFFFFF"/>
          <w:lang w:val="en-US"/>
        </w:rPr>
        <w:t>C</w:t>
      </w:r>
      <w:r w:rsidRPr="000C749B">
        <w:rPr>
          <w:color w:val="333333"/>
          <w:sz w:val="28"/>
          <w:szCs w:val="28"/>
          <w:shd w:val="clear" w:color="auto" w:fill="FFFFFF"/>
          <w:lang w:val="en-US"/>
        </w:rPr>
        <w:t xml:space="preserve">oupled  with </w:t>
      </w:r>
      <w:proofErr w:type="spellStart"/>
      <w:r>
        <w:rPr>
          <w:color w:val="333333"/>
          <w:sz w:val="28"/>
          <w:szCs w:val="28"/>
          <w:shd w:val="clear" w:color="auto" w:fill="FFFFFF"/>
          <w:lang w:val="en-US"/>
        </w:rPr>
        <w:t>E</w:t>
      </w:r>
      <w:r w:rsidRPr="000C749B">
        <w:rPr>
          <w:color w:val="333333"/>
          <w:sz w:val="28"/>
          <w:szCs w:val="28"/>
          <w:shd w:val="clear" w:color="auto" w:fill="FFFFFF"/>
          <w:lang w:val="en-US"/>
        </w:rPr>
        <w:t>lectroflotation</w:t>
      </w:r>
      <w:proofErr w:type="spellEnd"/>
      <w:r w:rsidRPr="000C749B">
        <w:rPr>
          <w:color w:val="333333"/>
          <w:sz w:val="28"/>
          <w:szCs w:val="28"/>
          <w:shd w:val="clear" w:color="auto" w:fill="FFFFFF"/>
          <w:lang w:val="en-US"/>
        </w:rPr>
        <w:t xml:space="preserve">-assisted </w:t>
      </w:r>
      <w:r>
        <w:rPr>
          <w:color w:val="333333"/>
          <w:sz w:val="28"/>
          <w:szCs w:val="28"/>
          <w:shd w:val="clear" w:color="auto" w:fill="FFFFFF"/>
          <w:lang w:val="en-US"/>
        </w:rPr>
        <w:t>E</w:t>
      </w:r>
      <w:r w:rsidRPr="000C749B">
        <w:rPr>
          <w:color w:val="333333"/>
          <w:sz w:val="28"/>
          <w:szCs w:val="28"/>
          <w:shd w:val="clear" w:color="auto" w:fill="FFFFFF"/>
          <w:lang w:val="en-US"/>
        </w:rPr>
        <w:t xml:space="preserve">mulsification </w:t>
      </w:r>
      <w:r>
        <w:rPr>
          <w:color w:val="333333"/>
          <w:sz w:val="28"/>
          <w:szCs w:val="28"/>
          <w:shd w:val="clear" w:color="auto" w:fill="FFFFFF"/>
          <w:lang w:val="en-US"/>
        </w:rPr>
        <w:t>L</w:t>
      </w:r>
      <w:r w:rsidRPr="000C749B">
        <w:rPr>
          <w:color w:val="333333"/>
          <w:sz w:val="28"/>
          <w:szCs w:val="28"/>
          <w:shd w:val="clear" w:color="auto" w:fill="FFFFFF"/>
          <w:lang w:val="en-US"/>
        </w:rPr>
        <w:t>iquid–</w:t>
      </w:r>
      <w:r>
        <w:rPr>
          <w:color w:val="333333"/>
          <w:sz w:val="28"/>
          <w:szCs w:val="28"/>
          <w:shd w:val="clear" w:color="auto" w:fill="FFFFFF"/>
          <w:lang w:val="en-US"/>
        </w:rPr>
        <w:t>L</w:t>
      </w:r>
      <w:r w:rsidRPr="000C749B">
        <w:rPr>
          <w:color w:val="333333"/>
          <w:sz w:val="28"/>
          <w:szCs w:val="28"/>
          <w:shd w:val="clear" w:color="auto" w:fill="FFFFFF"/>
          <w:lang w:val="en-US"/>
        </w:rPr>
        <w:t xml:space="preserve">iquid </w:t>
      </w:r>
      <w:proofErr w:type="spellStart"/>
      <w:r>
        <w:rPr>
          <w:color w:val="333333"/>
          <w:sz w:val="28"/>
          <w:szCs w:val="28"/>
          <w:shd w:val="clear" w:color="auto" w:fill="FFFFFF"/>
          <w:lang w:val="en-US"/>
        </w:rPr>
        <w:t>M</w:t>
      </w:r>
      <w:r w:rsidRPr="000C749B">
        <w:rPr>
          <w:color w:val="333333"/>
          <w:sz w:val="28"/>
          <w:szCs w:val="28"/>
          <w:shd w:val="clear" w:color="auto" w:fill="FFFFFF"/>
          <w:lang w:val="en-US"/>
        </w:rPr>
        <w:t>icroextraction</w:t>
      </w:r>
      <w:proofErr w:type="spellEnd"/>
    </w:p>
    <w:p w:rsidR="00FE493E" w:rsidRPr="00FE493E" w:rsidRDefault="00FE493E" w:rsidP="0041359E">
      <w:pPr>
        <w:pStyle w:val="Default"/>
        <w:jc w:val="center"/>
        <w:rPr>
          <w:rFonts w:ascii="Times New Roman" w:hAnsi="Times New Roman" w:cs="Times New Roman"/>
          <w:lang w:val="en-US"/>
        </w:rPr>
      </w:pPr>
      <w:proofErr w:type="spellStart"/>
      <w:r w:rsidRPr="00FE493E">
        <w:rPr>
          <w:rFonts w:ascii="Times New Roman" w:hAnsi="Times New Roman" w:cs="Times New Roman"/>
          <w:lang w:val="en-US"/>
        </w:rPr>
        <w:t>Krylov</w:t>
      </w:r>
      <w:proofErr w:type="spellEnd"/>
      <w:r w:rsidRPr="00FE493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E493E">
        <w:rPr>
          <w:rFonts w:ascii="Times New Roman" w:hAnsi="Times New Roman" w:cs="Times New Roman"/>
          <w:lang w:val="en-US"/>
        </w:rPr>
        <w:t>Valentin</w:t>
      </w:r>
      <w:proofErr w:type="spellEnd"/>
      <w:r w:rsidRPr="00FE493E">
        <w:rPr>
          <w:rFonts w:ascii="Times New Roman" w:hAnsi="Times New Roman" w:cs="Times New Roman"/>
          <w:lang w:val="en-US"/>
        </w:rPr>
        <w:t xml:space="preserve"> A.</w:t>
      </w:r>
    </w:p>
    <w:p w:rsidR="0041359E" w:rsidRPr="00FE493E" w:rsidRDefault="0041359E" w:rsidP="0041359E">
      <w:pPr>
        <w:pStyle w:val="Default"/>
        <w:jc w:val="center"/>
        <w:rPr>
          <w:rFonts w:ascii="Times New Roman" w:eastAsia="TwCenMT-Regular" w:hAnsi="Times New Roman" w:cs="Times New Roman"/>
          <w:lang w:val="en-US"/>
        </w:rPr>
      </w:pPr>
      <w:r w:rsidRPr="00FE493E">
        <w:rPr>
          <w:rFonts w:ascii="Times New Roman" w:eastAsia="TwCenMT-Regular" w:hAnsi="Times New Roman" w:cs="Times New Roman"/>
          <w:lang w:val="en-US"/>
        </w:rPr>
        <w:t xml:space="preserve">N. I. </w:t>
      </w:r>
      <w:proofErr w:type="spellStart"/>
      <w:r w:rsidRPr="00FE493E">
        <w:rPr>
          <w:rFonts w:ascii="Times New Roman" w:eastAsia="TwCenMT-Regular" w:hAnsi="Times New Roman" w:cs="Times New Roman"/>
          <w:lang w:val="en-US"/>
        </w:rPr>
        <w:t>Lobachevsky</w:t>
      </w:r>
      <w:proofErr w:type="spellEnd"/>
      <w:r w:rsidRPr="00FE493E">
        <w:rPr>
          <w:rFonts w:ascii="Times New Roman" w:eastAsia="TwCenMT-Regular" w:hAnsi="Times New Roman" w:cs="Times New Roman"/>
          <w:lang w:val="en-US"/>
        </w:rPr>
        <w:t xml:space="preserve"> Nizhny Novgorod State University, </w:t>
      </w:r>
      <w:r w:rsidRPr="00FE493E">
        <w:rPr>
          <w:rFonts w:ascii="Times New Roman" w:hAnsi="Times New Roman" w:cs="Times New Roman"/>
          <w:lang w:val="en-US"/>
        </w:rPr>
        <w:t xml:space="preserve">603950, </w:t>
      </w:r>
      <w:r w:rsidRPr="00FE493E">
        <w:rPr>
          <w:rFonts w:ascii="Times New Roman" w:eastAsia="TwCenMT-Regular" w:hAnsi="Times New Roman" w:cs="Times New Roman"/>
          <w:lang w:val="en-US"/>
        </w:rPr>
        <w:t>Russia</w:t>
      </w:r>
    </w:p>
    <w:p w:rsidR="00FE493E" w:rsidRPr="00FE493E" w:rsidRDefault="00FE493E" w:rsidP="0041359E">
      <w:pPr>
        <w:pStyle w:val="Default"/>
        <w:jc w:val="center"/>
        <w:rPr>
          <w:rFonts w:ascii="Times New Roman" w:eastAsia="TwCenMT-Regular" w:hAnsi="Times New Roman" w:cs="Times New Roman"/>
          <w:lang w:val="en-US"/>
        </w:rPr>
      </w:pPr>
    </w:p>
    <w:p w:rsidR="0041359E" w:rsidRDefault="0041359E" w:rsidP="0041359E">
      <w:pPr>
        <w:autoSpaceDE w:val="0"/>
        <w:autoSpaceDN w:val="0"/>
        <w:adjustRightInd w:val="0"/>
        <w:ind w:firstLine="708"/>
        <w:jc w:val="both"/>
        <w:rPr>
          <w:lang w:val="en-US"/>
        </w:rPr>
      </w:pPr>
      <w:r>
        <w:rPr>
          <w:lang w:val="en-US"/>
        </w:rPr>
        <w:t xml:space="preserve">Polycyclic aromatic hydrocarbons are priority pollutants due to the very </w:t>
      </w:r>
      <w:r>
        <w:rPr>
          <w:rFonts w:eastAsia="MinionPro-Regular"/>
          <w:lang w:val="en-US"/>
        </w:rPr>
        <w:t>high</w:t>
      </w:r>
      <w:r>
        <w:rPr>
          <w:lang w:val="en-US"/>
        </w:rPr>
        <w:t xml:space="preserve"> toxicity. Therefore, to determine them, it is necessary to use sensitive methods with </w:t>
      </w:r>
      <w:proofErr w:type="spellStart"/>
      <w:r>
        <w:rPr>
          <w:lang w:val="en-US"/>
        </w:rPr>
        <w:t>preconcentration</w:t>
      </w:r>
      <w:proofErr w:type="spellEnd"/>
      <w:r>
        <w:rPr>
          <w:lang w:val="en-US"/>
        </w:rPr>
        <w:t xml:space="preserve">. In the present study, a novel method named </w:t>
      </w:r>
      <w:proofErr w:type="spellStart"/>
      <w:r>
        <w:rPr>
          <w:lang w:val="en-US"/>
        </w:rPr>
        <w:t>electroflotation</w:t>
      </w:r>
      <w:proofErr w:type="spellEnd"/>
      <w:r>
        <w:rPr>
          <w:lang w:val="en-US"/>
        </w:rPr>
        <w:t xml:space="preserve">-assisted emulsification liquid–liquid </w:t>
      </w:r>
      <w:proofErr w:type="spellStart"/>
      <w:r>
        <w:rPr>
          <w:lang w:val="en-US"/>
        </w:rPr>
        <w:t>microextraction</w:t>
      </w:r>
      <w:proofErr w:type="spellEnd"/>
      <w:r>
        <w:rPr>
          <w:lang w:val="en-US"/>
        </w:rPr>
        <w:t xml:space="preserve"> combined with GC-MS analysis has been proposed for the </w:t>
      </w:r>
      <w:proofErr w:type="spellStart"/>
      <w:r>
        <w:rPr>
          <w:lang w:val="en-US"/>
        </w:rPr>
        <w:t>preconcentration</w:t>
      </w:r>
      <w:proofErr w:type="spellEnd"/>
      <w:r>
        <w:rPr>
          <w:lang w:val="en-US"/>
        </w:rPr>
        <w:t xml:space="preserve"> and determination of polycyclic aromatic hydrocarbons in water samples. The advantage of </w:t>
      </w:r>
      <w:proofErr w:type="spellStart"/>
      <w:r>
        <w:rPr>
          <w:lang w:val="en-US"/>
        </w:rPr>
        <w:t>electroflotation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demulsification</w:t>
      </w:r>
      <w:proofErr w:type="spellEnd"/>
      <w:r>
        <w:rPr>
          <w:lang w:val="en-US"/>
        </w:rPr>
        <w:t xml:space="preserve"> is the ease of changing the gas flow and size of gas micro-bubbles. The formation of gas micro-bubbles occurs on platinum electrodes soldered into a glass concentrator. </w:t>
      </w:r>
      <w:r>
        <w:rPr>
          <w:rFonts w:eastAsia="Roboto-Medium"/>
          <w:lang w:val="en-US"/>
        </w:rPr>
        <w:t>Hexane, t</w:t>
      </w:r>
      <w:r>
        <w:rPr>
          <w:lang w:val="en-US"/>
        </w:rPr>
        <w:t xml:space="preserve">oluene and </w:t>
      </w:r>
      <w:r>
        <w:rPr>
          <w:i/>
          <w:lang w:val="en-US"/>
        </w:rPr>
        <w:t>o</w:t>
      </w:r>
      <w:r>
        <w:rPr>
          <w:lang w:val="en-US"/>
        </w:rPr>
        <w:t>-</w:t>
      </w:r>
      <w:proofErr w:type="spellStart"/>
      <w:r>
        <w:rPr>
          <w:lang w:val="en-US"/>
        </w:rPr>
        <w:t>xylene</w:t>
      </w:r>
      <w:proofErr w:type="spellEnd"/>
      <w:r>
        <w:rPr>
          <w:rFonts w:eastAsia="Roboto-Medium"/>
          <w:lang w:val="en-US"/>
        </w:rPr>
        <w:t xml:space="preserve"> were used as </w:t>
      </w:r>
      <w:proofErr w:type="spellStart"/>
      <w:r>
        <w:rPr>
          <w:rFonts w:eastAsia="Roboto-Medium"/>
          <w:lang w:val="en-US"/>
        </w:rPr>
        <w:t>extractants</w:t>
      </w:r>
      <w:proofErr w:type="spellEnd"/>
      <w:r>
        <w:rPr>
          <w:rFonts w:eastAsia="Roboto-Medium"/>
          <w:lang w:val="en-US"/>
        </w:rPr>
        <w:t>.</w:t>
      </w:r>
      <w:r>
        <w:rPr>
          <w:lang w:val="en-US"/>
        </w:rPr>
        <w:t xml:space="preserve"> </w:t>
      </w:r>
      <w:r>
        <w:rPr>
          <w:rFonts w:eastAsia="MinionPro-Regular"/>
          <w:lang w:val="en-US"/>
        </w:rPr>
        <w:t xml:space="preserve">Application of extract capillary collection have solved the problem of the light </w:t>
      </w:r>
      <w:proofErr w:type="spellStart"/>
      <w:r>
        <w:rPr>
          <w:rFonts w:eastAsia="MinionPro-Regular"/>
          <w:lang w:val="en-US"/>
        </w:rPr>
        <w:t>extractant</w:t>
      </w:r>
      <w:proofErr w:type="spellEnd"/>
      <w:r>
        <w:rPr>
          <w:rFonts w:eastAsia="MinionPro-Regular"/>
          <w:lang w:val="en-US"/>
        </w:rPr>
        <w:t xml:space="preserve"> sampling.</w:t>
      </w:r>
      <w:r>
        <w:rPr>
          <w:rFonts w:eastAsia="Roboto-Medium"/>
          <w:lang w:val="en-US"/>
        </w:rPr>
        <w:t xml:space="preserve"> Dispersion of the </w:t>
      </w:r>
      <w:proofErr w:type="spellStart"/>
      <w:r>
        <w:rPr>
          <w:rFonts w:eastAsia="Roboto-Medium"/>
          <w:lang w:val="en-US"/>
        </w:rPr>
        <w:t>extractant</w:t>
      </w:r>
      <w:proofErr w:type="spellEnd"/>
      <w:r>
        <w:rPr>
          <w:rFonts w:eastAsia="Roboto-Medium"/>
          <w:lang w:val="en-US"/>
        </w:rPr>
        <w:t xml:space="preserve"> was performed by ultrasound.</w:t>
      </w:r>
      <w:r>
        <w:rPr>
          <w:lang w:val="en-US"/>
        </w:rPr>
        <w:t xml:space="preserve"> The volume of </w:t>
      </w:r>
      <w:proofErr w:type="spellStart"/>
      <w:r>
        <w:rPr>
          <w:lang w:val="en-US"/>
        </w:rPr>
        <w:t>microextracts</w:t>
      </w:r>
      <w:proofErr w:type="spellEnd"/>
      <w:r>
        <w:rPr>
          <w:lang w:val="en-US"/>
        </w:rPr>
        <w:t xml:space="preserve"> was 7-10 µl. The recovery of polycyclic aromatic hydrocarbons from water was 62-95%.</w:t>
      </w:r>
      <w:r>
        <w:rPr>
          <w:color w:val="000000"/>
          <w:lang w:val="en-US"/>
        </w:rPr>
        <w:t xml:space="preserve"> </w:t>
      </w:r>
      <w:r>
        <w:rPr>
          <w:lang w:val="en-US"/>
        </w:rPr>
        <w:t xml:space="preserve">A DB-5 (5% phenyl + 95% </w:t>
      </w:r>
      <w:proofErr w:type="spellStart"/>
      <w:r>
        <w:rPr>
          <w:lang w:val="en-US"/>
        </w:rPr>
        <w:t>polydimethylsiloxane</w:t>
      </w:r>
      <w:proofErr w:type="spellEnd"/>
      <w:r>
        <w:rPr>
          <w:lang w:val="en-US"/>
        </w:rPr>
        <w:t xml:space="preserve">) fused-silica capillary column (30 m </w:t>
      </w:r>
      <w:r>
        <w:rPr>
          <w:rFonts w:eastAsia="MTSY"/>
          <w:lang w:val="en-US"/>
        </w:rPr>
        <w:t>×</w:t>
      </w:r>
      <w:r>
        <w:rPr>
          <w:lang w:val="en-US"/>
        </w:rPr>
        <w:t xml:space="preserve">0.25 mm </w:t>
      </w:r>
      <w:proofErr w:type="spellStart"/>
      <w:r>
        <w:rPr>
          <w:lang w:val="en-US"/>
        </w:rPr>
        <w:t>i.d</w:t>
      </w:r>
      <w:proofErr w:type="spellEnd"/>
      <w:r>
        <w:rPr>
          <w:lang w:val="en-US"/>
        </w:rPr>
        <w:t xml:space="preserve">. and 0.25-µm film thickness)was applied for separation of the </w:t>
      </w:r>
      <w:proofErr w:type="spellStart"/>
      <w:r>
        <w:rPr>
          <w:lang w:val="en-US"/>
        </w:rPr>
        <w:t>analytes</w:t>
      </w:r>
      <w:proofErr w:type="spellEnd"/>
      <w:r>
        <w:rPr>
          <w:lang w:val="en-US"/>
        </w:rPr>
        <w:t>. The limits of detection and quantification of polycyclic aromatic hydrocarbons achieved were at the level of 10</w:t>
      </w:r>
      <w:r>
        <w:rPr>
          <w:vertAlign w:val="superscript"/>
          <w:lang w:val="en-US"/>
        </w:rPr>
        <w:t>-5</w:t>
      </w:r>
      <w:r>
        <w:rPr>
          <w:lang w:val="en-US"/>
        </w:rPr>
        <w:t>–10</w:t>
      </w:r>
      <w:r>
        <w:rPr>
          <w:vertAlign w:val="superscript"/>
          <w:lang w:val="en-US"/>
        </w:rPr>
        <w:t>-6</w:t>
      </w:r>
      <w:r>
        <w:rPr>
          <w:lang w:val="en-US"/>
        </w:rPr>
        <w:t xml:space="preserve"> mg</w:t>
      </w:r>
      <w:r>
        <w:rPr>
          <w:color w:val="000000"/>
          <w:lang w:val="en-US"/>
        </w:rPr>
        <w:t>/</w:t>
      </w:r>
      <w:r>
        <w:rPr>
          <w:lang w:val="en-US"/>
        </w:rPr>
        <w:t>L and  highly competitive with the best world results.</w:t>
      </w:r>
      <w:r>
        <w:rPr>
          <w:rFonts w:eastAsia="Roboto-Medium"/>
          <w:lang w:val="en-US"/>
        </w:rPr>
        <w:t xml:space="preserve"> The methods of accounting or elimination of systematic errors are proposed. Purification of solvents by Rayleigh distillation method allowed to obtain samples with impurity content lower than (1-4)∙  10</w:t>
      </w:r>
      <w:r>
        <w:rPr>
          <w:rFonts w:eastAsia="Roboto-Medium"/>
          <w:vertAlign w:val="superscript"/>
          <w:lang w:val="en-US"/>
        </w:rPr>
        <w:t>-3</w:t>
      </w:r>
      <w:r>
        <w:rPr>
          <w:rFonts w:eastAsia="Roboto-Medium"/>
          <w:lang w:val="en-US"/>
        </w:rPr>
        <w:t xml:space="preserve"> </w:t>
      </w:r>
      <w:r>
        <w:rPr>
          <w:lang w:val="en-US"/>
        </w:rPr>
        <w:t>mg</w:t>
      </w:r>
      <w:r>
        <w:rPr>
          <w:color w:val="000000"/>
          <w:lang w:val="en-US"/>
        </w:rPr>
        <w:t>/</w:t>
      </w:r>
      <w:r>
        <w:rPr>
          <w:lang w:val="en-US"/>
        </w:rPr>
        <w:t>L</w:t>
      </w:r>
      <w:r>
        <w:rPr>
          <w:rFonts w:eastAsia="Roboto-Medium"/>
          <w:lang w:val="en-US"/>
        </w:rPr>
        <w:t xml:space="preserve">. Containers for sampling and storage of samples to be analyzed should be made of borosilicate glass or quartz. </w:t>
      </w:r>
      <w:r>
        <w:rPr>
          <w:color w:val="000000"/>
          <w:lang w:val="en-US"/>
        </w:rPr>
        <w:t xml:space="preserve">The expanded uncertainty </w:t>
      </w:r>
      <w:r>
        <w:rPr>
          <w:lang w:val="en-US"/>
        </w:rPr>
        <w:t xml:space="preserve">of determination </w:t>
      </w:r>
      <w:r>
        <w:rPr>
          <w:color w:val="000000"/>
          <w:lang w:val="en-US"/>
        </w:rPr>
        <w:t>was calculated. It included precision, uncertainty of standards preparation, calibration, sample introduction, enrichment factor. The relative expanded uncertainty was at the level of 13-30%.</w:t>
      </w:r>
      <w:r>
        <w:rPr>
          <w:lang w:val="en-US"/>
        </w:rPr>
        <w:t xml:space="preserve"> </w:t>
      </w:r>
    </w:p>
    <w:p w:rsidR="0041359E" w:rsidRDefault="0041359E" w:rsidP="0041359E">
      <w:pPr>
        <w:autoSpaceDE w:val="0"/>
        <w:autoSpaceDN w:val="0"/>
        <w:adjustRightInd w:val="0"/>
        <w:rPr>
          <w:lang w:val="en-NZ"/>
        </w:rPr>
      </w:pPr>
    </w:p>
    <w:p w:rsidR="007B065C" w:rsidRDefault="007B065C" w:rsidP="007B065C">
      <w:pPr>
        <w:jc w:val="both"/>
        <w:rPr>
          <w:color w:val="000000"/>
        </w:rPr>
      </w:pPr>
    </w:p>
    <w:p w:rsidR="0041359E" w:rsidRDefault="00FE493E" w:rsidP="0041359E">
      <w:pPr>
        <w:autoSpaceDE w:val="0"/>
        <w:autoSpaceDN w:val="0"/>
        <w:adjustRightInd w:val="0"/>
        <w:rPr>
          <w:lang w:val="en-NZ"/>
        </w:rPr>
      </w:pPr>
      <w:r w:rsidRPr="00FE493E">
        <w:rPr>
          <w:b/>
          <w:bCs/>
          <w:lang w:val="en-NZ"/>
        </w:rPr>
        <w:t>Biography.</w:t>
      </w:r>
      <w:r>
        <w:rPr>
          <w:b/>
          <w:bCs/>
          <w:lang w:val="en-NZ"/>
        </w:rPr>
        <w:t xml:space="preserve"> </w:t>
      </w:r>
      <w:proofErr w:type="spellStart"/>
      <w:r w:rsidR="0041359E" w:rsidRPr="00FE493E">
        <w:rPr>
          <w:color w:val="212529"/>
          <w:lang w:val="en-US" w:eastAsia="ru-RU"/>
        </w:rPr>
        <w:t>Krylov</w:t>
      </w:r>
      <w:proofErr w:type="spellEnd"/>
      <w:r w:rsidR="0041359E" w:rsidRPr="00FE493E">
        <w:rPr>
          <w:color w:val="212529"/>
          <w:lang w:val="en-US" w:eastAsia="ru-RU"/>
        </w:rPr>
        <w:t xml:space="preserve"> V. A. </w:t>
      </w:r>
      <w:r w:rsidR="0041359E" w:rsidRPr="00FE493E">
        <w:rPr>
          <w:lang w:val="en-NZ"/>
        </w:rPr>
        <w:t xml:space="preserve">has completed his PhD from  </w:t>
      </w:r>
      <w:proofErr w:type="spellStart"/>
      <w:r w:rsidR="0041359E" w:rsidRPr="00FE493E">
        <w:rPr>
          <w:rFonts w:eastAsia="TwCenMT-Regular"/>
          <w:lang w:val="en-US"/>
        </w:rPr>
        <w:t>Gorkiy</w:t>
      </w:r>
      <w:proofErr w:type="spellEnd"/>
      <w:r w:rsidR="0041359E" w:rsidRPr="00FE493E">
        <w:rPr>
          <w:rFonts w:eastAsia="TwCenMT-Regular"/>
          <w:lang w:val="en-US"/>
        </w:rPr>
        <w:t xml:space="preserve"> State University, Russia</w:t>
      </w:r>
      <w:r w:rsidR="0041359E" w:rsidRPr="00FE493E">
        <w:rPr>
          <w:lang w:val="en-NZ"/>
        </w:rPr>
        <w:t>. He is</w:t>
      </w:r>
      <w:r w:rsidR="0041359E">
        <w:rPr>
          <w:lang w:val="en-NZ"/>
        </w:rPr>
        <w:t xml:space="preserve"> </w:t>
      </w:r>
      <w:r w:rsidR="0041359E">
        <w:rPr>
          <w:color w:val="212529"/>
          <w:lang w:val="en-US" w:eastAsia="ru-RU"/>
        </w:rPr>
        <w:t xml:space="preserve">head of the division of analytical chemistry of the Nizhny Novgorod State University. The main direction of </w:t>
      </w:r>
      <w:proofErr w:type="spellStart"/>
      <w:r w:rsidR="0041359E">
        <w:rPr>
          <w:color w:val="212529"/>
          <w:lang w:val="en-US" w:eastAsia="ru-RU"/>
        </w:rPr>
        <w:t>scientic</w:t>
      </w:r>
      <w:proofErr w:type="spellEnd"/>
      <w:r w:rsidR="0041359E">
        <w:rPr>
          <w:color w:val="212529"/>
          <w:lang w:val="en-US" w:eastAsia="ru-RU"/>
        </w:rPr>
        <w:t xml:space="preserve"> research of professor </w:t>
      </w:r>
      <w:proofErr w:type="spellStart"/>
      <w:r w:rsidR="0041359E">
        <w:rPr>
          <w:color w:val="212529"/>
          <w:lang w:val="en-US" w:eastAsia="ru-RU"/>
        </w:rPr>
        <w:t>Krylov</w:t>
      </w:r>
      <w:proofErr w:type="spellEnd"/>
      <w:r w:rsidR="0041359E">
        <w:rPr>
          <w:color w:val="212529"/>
          <w:lang w:val="en-US" w:eastAsia="ru-RU"/>
        </w:rPr>
        <w:t xml:space="preserve"> is the development of the theory and applications of chromatography for the analysis of high purity substances, environmental objects and development of methods of the </w:t>
      </w:r>
      <w:proofErr w:type="spellStart"/>
      <w:r w:rsidR="0041359E">
        <w:rPr>
          <w:color w:val="212529"/>
          <w:lang w:val="en-US" w:eastAsia="ru-RU"/>
        </w:rPr>
        <w:t>microextraction</w:t>
      </w:r>
      <w:proofErr w:type="spellEnd"/>
      <w:r w:rsidR="0041359E">
        <w:rPr>
          <w:color w:val="212529"/>
          <w:lang w:val="en-US" w:eastAsia="ru-RU"/>
        </w:rPr>
        <w:t xml:space="preserve">. </w:t>
      </w:r>
      <w:r w:rsidR="0041359E">
        <w:rPr>
          <w:lang w:val="en-NZ"/>
        </w:rPr>
        <w:t xml:space="preserve">He has over </w:t>
      </w:r>
      <w:r w:rsidR="0041359E">
        <w:rPr>
          <w:color w:val="212529"/>
          <w:lang w:val="en-US" w:eastAsia="ru-RU"/>
        </w:rPr>
        <w:t xml:space="preserve">200 </w:t>
      </w:r>
      <w:proofErr w:type="spellStart"/>
      <w:r w:rsidR="0041359E">
        <w:rPr>
          <w:color w:val="212529"/>
          <w:lang w:val="en-US" w:eastAsia="ru-RU"/>
        </w:rPr>
        <w:t>scientic</w:t>
      </w:r>
      <w:proofErr w:type="spellEnd"/>
      <w:r w:rsidR="0041359E">
        <w:rPr>
          <w:color w:val="212529"/>
          <w:lang w:val="en-US" w:eastAsia="ru-RU"/>
        </w:rPr>
        <w:t xml:space="preserve"> papers, including reviews on the analytical chemistry of air, high purity volatile substances and liquid-liquid </w:t>
      </w:r>
      <w:proofErr w:type="spellStart"/>
      <w:r w:rsidR="0041359E">
        <w:rPr>
          <w:color w:val="212529"/>
          <w:lang w:val="en-US" w:eastAsia="ru-RU"/>
        </w:rPr>
        <w:t>microextraction</w:t>
      </w:r>
      <w:proofErr w:type="spellEnd"/>
      <w:r w:rsidR="0041359E">
        <w:rPr>
          <w:color w:val="212529"/>
          <w:lang w:val="en-US" w:eastAsia="ru-RU"/>
        </w:rPr>
        <w:t>.</w:t>
      </w:r>
      <w:r w:rsidR="0041359E">
        <w:rPr>
          <w:lang w:val="en-NZ"/>
        </w:rPr>
        <w:t xml:space="preserve"> He presented papers in more than 50 </w:t>
      </w:r>
      <w:proofErr w:type="spellStart"/>
      <w:r w:rsidR="0041359E">
        <w:rPr>
          <w:lang w:val="en-NZ"/>
        </w:rPr>
        <w:t>russian</w:t>
      </w:r>
      <w:proofErr w:type="spellEnd"/>
      <w:r w:rsidR="0041359E">
        <w:rPr>
          <w:lang w:val="en-NZ"/>
        </w:rPr>
        <w:t xml:space="preserve"> and international conferences.</w:t>
      </w:r>
    </w:p>
    <w:p w:rsidR="007B065C" w:rsidRPr="0041359E" w:rsidRDefault="007B065C" w:rsidP="007B065C">
      <w:pPr>
        <w:jc w:val="both"/>
        <w:rPr>
          <w:rFonts w:eastAsia="MS PGothic"/>
          <w:b/>
          <w:color w:val="000000"/>
          <w:szCs w:val="32"/>
          <w:lang w:val="en-NZ"/>
        </w:rPr>
      </w:pPr>
    </w:p>
    <w:p w:rsidR="007B065C" w:rsidRPr="008A690F" w:rsidRDefault="007B065C" w:rsidP="007B065C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="00FE493E" w:rsidRPr="00695917">
        <w:t>Krylov V</w:t>
      </w:r>
      <w:r w:rsidR="00FE493E">
        <w:t>alentin A</w:t>
      </w:r>
      <w:r w:rsidR="00FE493E" w:rsidRPr="00695917">
        <w:t>.</w:t>
      </w:r>
      <w:r w:rsidRPr="008A690F">
        <w:rPr>
          <w:lang w:val="en-NZ"/>
        </w:rPr>
        <w:br/>
        <w:t>Contact number: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</w:p>
    <w:p w:rsidR="00FE493E" w:rsidRPr="00FE493E" w:rsidRDefault="007B065C" w:rsidP="00FE493E">
      <w:pPr>
        <w:rPr>
          <w:lang w:val="en-US"/>
        </w:rPr>
      </w:pPr>
      <w:r w:rsidRPr="008A690F">
        <w:rPr>
          <w:lang w:val="en-NZ"/>
        </w:rPr>
        <w:t>Session name/ number:</w:t>
      </w:r>
      <w:r w:rsidR="00FE493E" w:rsidRPr="00FE493E">
        <w:t xml:space="preserve"> </w:t>
      </w:r>
      <w:hyperlink r:id="rId5" w:tooltip="Mass Spectrometry in Food Analysis" w:history="1">
        <w:r w:rsidR="00FE493E" w:rsidRPr="00FE493E">
          <w:rPr>
            <w:rStyle w:val="a9"/>
            <w:color w:val="auto"/>
            <w:u w:val="none"/>
          </w:rPr>
          <w:t>Mass Spectrometry in Food Analysis</w:t>
        </w:r>
      </w:hyperlink>
    </w:p>
    <w:p w:rsidR="003A15B9" w:rsidRPr="007B065C" w:rsidRDefault="007B065C" w:rsidP="00FE493E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Category: Oral presentation</w:t>
      </w:r>
    </w:p>
    <w:sectPr w:rsidR="003A15B9" w:rsidRPr="007B065C" w:rsidSect="001F414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Sans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TwCenMT-Regula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MinionPro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Roboto-Medium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MTSY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FE493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FE493E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FE493E">
    <w:pPr>
      <w:pStyle w:val="a5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33" w:rsidRPr="00671A59" w:rsidRDefault="00FE493E">
    <w:pPr>
      <w:pStyle w:val="a3"/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FE493E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FE493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/>
  <w:defaultTabStop w:val="708"/>
  <w:characterSpacingControl w:val="doNotCompress"/>
  <w:compat/>
  <w:rsids>
    <w:rsidRoot w:val="007B065C"/>
    <w:rsid w:val="003A15B9"/>
    <w:rsid w:val="0041359E"/>
    <w:rsid w:val="007B065C"/>
    <w:rsid w:val="007C2885"/>
    <w:rsid w:val="00B83B25"/>
    <w:rsid w:val="00F35A14"/>
    <w:rsid w:val="00FE4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6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065C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a4">
    <w:name w:val="Верхний колонтитул Знак"/>
    <w:basedOn w:val="a0"/>
    <w:link w:val="a3"/>
    <w:uiPriority w:val="99"/>
    <w:rsid w:val="007B065C"/>
    <w:rPr>
      <w:rFonts w:ascii="Times New Roman" w:eastAsia="Times New Roman" w:hAnsi="Times New Roman" w:cs="Gautami"/>
      <w:sz w:val="24"/>
      <w:szCs w:val="24"/>
      <w:lang w:bidi="te-IN"/>
    </w:rPr>
  </w:style>
  <w:style w:type="paragraph" w:styleId="a5">
    <w:name w:val="footer"/>
    <w:basedOn w:val="a"/>
    <w:link w:val="a6"/>
    <w:uiPriority w:val="99"/>
    <w:semiHidden/>
    <w:unhideWhenUsed/>
    <w:rsid w:val="007B065C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7B065C"/>
    <w:rPr>
      <w:rFonts w:ascii="Times New Roman" w:eastAsia="Times New Roman" w:hAnsi="Times New Roman" w:cs="Gautami"/>
      <w:sz w:val="24"/>
      <w:szCs w:val="24"/>
      <w:lang w:bidi="te-IN"/>
    </w:rPr>
  </w:style>
  <w:style w:type="paragraph" w:styleId="a7">
    <w:name w:val="Balloon Text"/>
    <w:basedOn w:val="a"/>
    <w:link w:val="a8"/>
    <w:uiPriority w:val="99"/>
    <w:semiHidden/>
    <w:unhideWhenUsed/>
    <w:rsid w:val="007B065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B065C"/>
    <w:rPr>
      <w:rFonts w:ascii="Tahoma" w:eastAsia="Times New Roman" w:hAnsi="Tahoma" w:cs="Tahoma"/>
      <w:sz w:val="16"/>
      <w:szCs w:val="16"/>
      <w:lang w:val="it-IT" w:eastAsia="it-IT"/>
    </w:rPr>
  </w:style>
  <w:style w:type="paragraph" w:customStyle="1" w:styleId="Default">
    <w:name w:val="Default"/>
    <w:rsid w:val="0041359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A80">
    <w:name w:val="A8"/>
    <w:uiPriority w:val="99"/>
    <w:rsid w:val="0041359E"/>
    <w:rPr>
      <w:color w:val="000000"/>
      <w:sz w:val="14"/>
      <w:szCs w:val="14"/>
    </w:rPr>
  </w:style>
  <w:style w:type="character" w:styleId="a9">
    <w:name w:val="Hyperlink"/>
    <w:basedOn w:val="a0"/>
    <w:uiPriority w:val="99"/>
    <w:semiHidden/>
    <w:unhideWhenUsed/>
    <w:rsid w:val="00FE493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8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hyperlink" Target="https://massspectrometryconference.massspectra.com/events-list/mass-spectrometry-in-food-analysis" TargetMode="External"/><Relationship Id="rId10" Type="http://schemas.openxmlformats.org/officeDocument/2006/relationships/header" Target="header3.xml"/><Relationship Id="rId4" Type="http://schemas.openxmlformats.org/officeDocument/2006/relationships/image" Target="media/image1.jpeg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</dc:creator>
  <cp:lastModifiedBy>Valentin</cp:lastModifiedBy>
  <cp:revision>1</cp:revision>
  <dcterms:created xsi:type="dcterms:W3CDTF">2020-02-16T12:09:00Z</dcterms:created>
  <dcterms:modified xsi:type="dcterms:W3CDTF">2020-02-16T12:39:00Z</dcterms:modified>
</cp:coreProperties>
</file>