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32C2E" w:rsidRPr="004B0911" w:rsidRDefault="00132C2E" w:rsidP="00132C2E">
      <w:pPr>
        <w:autoSpaceDE w:val="0"/>
        <w:autoSpaceDN w:val="0"/>
        <w:adjustRightInd w:val="0"/>
        <w:spacing w:before="120" w:line="240" w:lineRule="auto"/>
        <w:jc w:val="both"/>
        <w:rPr>
          <w:rFonts w:ascii="Times New Roman" w:hAnsi="Times New Roman" w:cs="Times New Roman"/>
          <w:b/>
          <w:color w:val="010202"/>
          <w:sz w:val="18"/>
          <w:szCs w:val="18"/>
        </w:rPr>
      </w:pPr>
      <w:r w:rsidRPr="004B0911">
        <w:rPr>
          <w:rFonts w:ascii="Times New Roman" w:hAnsi="Times New Roman" w:cs="Times New Roman"/>
          <w:b/>
          <w:color w:val="010202"/>
          <w:sz w:val="18"/>
          <w:szCs w:val="18"/>
        </w:rPr>
        <w:t>Effects of magneto active compensation of geomagnetic field on heart rate variability of healthy males.</w:t>
      </w:r>
    </w:p>
    <w:p w:rsidR="00132C2E" w:rsidRPr="004B0911" w:rsidRDefault="00132C2E" w:rsidP="00132C2E">
      <w:pPr>
        <w:spacing w:after="0" w:line="240" w:lineRule="auto"/>
        <w:jc w:val="both"/>
        <w:rPr>
          <w:rFonts w:ascii="Times New Roman" w:eastAsia="Calibri" w:hAnsi="Times New Roman" w:cs="Times New Roman"/>
          <w:noProof/>
          <w:sz w:val="18"/>
          <w:szCs w:val="18"/>
        </w:rPr>
      </w:pPr>
      <w:r w:rsidRPr="004B0911">
        <w:rPr>
          <w:rFonts w:ascii="Times New Roman" w:eastAsia="Calibri" w:hAnsi="Times New Roman" w:cs="Times New Roman"/>
          <w:noProof/>
          <w:sz w:val="18"/>
          <w:szCs w:val="18"/>
        </w:rPr>
        <w:t>Ketevan  Janashia (1)</w:t>
      </w:r>
      <w:r w:rsidRPr="004B0911">
        <w:rPr>
          <w:rFonts w:ascii="Times New Roman" w:hAnsi="Times New Roman" w:cs="Times New Roman"/>
          <w:noProof/>
          <w:sz w:val="18"/>
          <w:szCs w:val="18"/>
        </w:rPr>
        <w:t xml:space="preserve">,  Levan Tvildiani (1), Tamar </w:t>
      </w:r>
      <w:r w:rsidRPr="004B0911">
        <w:rPr>
          <w:rFonts w:ascii="Times New Roman" w:eastAsia="Calibri" w:hAnsi="Times New Roman" w:cs="Times New Roman"/>
          <w:noProof/>
          <w:sz w:val="18"/>
          <w:szCs w:val="18"/>
        </w:rPr>
        <w:t>Tsibadze (1)</w:t>
      </w:r>
      <w:r w:rsidRPr="004B0911">
        <w:rPr>
          <w:rFonts w:ascii="Times New Roman" w:hAnsi="Times New Roman" w:cs="Times New Roman"/>
          <w:noProof/>
          <w:sz w:val="18"/>
          <w:szCs w:val="18"/>
        </w:rPr>
        <w:t xml:space="preserve">, </w:t>
      </w:r>
      <w:r w:rsidRPr="004B0911">
        <w:rPr>
          <w:rFonts w:ascii="Times New Roman" w:eastAsia="Calibri" w:hAnsi="Times New Roman" w:cs="Times New Roman"/>
          <w:noProof/>
          <w:sz w:val="18"/>
          <w:szCs w:val="18"/>
        </w:rPr>
        <w:t>Nikoloz Invia (2)</w:t>
      </w:r>
      <w:r>
        <w:rPr>
          <w:rFonts w:ascii="Times New Roman" w:eastAsia="Calibri" w:hAnsi="Times New Roman" w:cs="Times New Roman"/>
          <w:noProof/>
          <w:sz w:val="18"/>
          <w:szCs w:val="18"/>
        </w:rPr>
        <w:t>, Vasili Kukhianidze (3), George Ramishvili (3).</w:t>
      </w:r>
    </w:p>
    <w:p w:rsidR="00132C2E" w:rsidRPr="004B0911" w:rsidRDefault="00132C2E" w:rsidP="00132C2E">
      <w:pPr>
        <w:spacing w:after="0" w:line="240" w:lineRule="auto"/>
        <w:jc w:val="both"/>
        <w:rPr>
          <w:rFonts w:ascii="Times New Roman" w:eastAsia="Calibri" w:hAnsi="Times New Roman" w:cs="Times New Roman"/>
          <w:noProof/>
          <w:sz w:val="18"/>
          <w:szCs w:val="18"/>
        </w:rPr>
      </w:pPr>
      <w:r w:rsidRPr="004B0911">
        <w:rPr>
          <w:rFonts w:ascii="Times New Roman" w:eastAsia="Calibri" w:hAnsi="Times New Roman" w:cs="Times New Roman"/>
          <w:noProof/>
          <w:sz w:val="18"/>
          <w:szCs w:val="18"/>
        </w:rPr>
        <w:t>1. C</w:t>
      </w:r>
      <w:r>
        <w:rPr>
          <w:rFonts w:ascii="Times New Roman" w:eastAsia="Calibri" w:hAnsi="Times New Roman" w:cs="Times New Roman"/>
          <w:noProof/>
          <w:sz w:val="18"/>
          <w:szCs w:val="18"/>
        </w:rPr>
        <w:t>entral Scientific Research Laboratory at David Tvildiani Medical University</w:t>
      </w:r>
      <w:r w:rsidRPr="004B0911">
        <w:rPr>
          <w:rFonts w:ascii="Times New Roman" w:eastAsia="Calibri" w:hAnsi="Times New Roman" w:cs="Times New Roman"/>
          <w:noProof/>
          <w:sz w:val="18"/>
          <w:szCs w:val="18"/>
        </w:rPr>
        <w:t xml:space="preserve">, </w:t>
      </w:r>
      <w:r>
        <w:rPr>
          <w:rFonts w:ascii="Times New Roman" w:eastAsia="Calibri" w:hAnsi="Times New Roman" w:cs="Times New Roman"/>
          <w:noProof/>
          <w:sz w:val="18"/>
          <w:szCs w:val="18"/>
        </w:rPr>
        <w:t>Tbilisi, Georgia;</w:t>
      </w:r>
      <w:r w:rsidRPr="004B0911">
        <w:rPr>
          <w:rFonts w:ascii="Times New Roman" w:eastAsia="Calibri" w:hAnsi="Times New Roman" w:cs="Times New Roman"/>
          <w:noProof/>
          <w:sz w:val="18"/>
          <w:szCs w:val="18"/>
        </w:rPr>
        <w:t xml:space="preserve"> </w:t>
      </w:r>
    </w:p>
    <w:p w:rsidR="00132C2E" w:rsidRDefault="00132C2E" w:rsidP="00132C2E">
      <w:pPr>
        <w:spacing w:after="0" w:line="240" w:lineRule="auto"/>
        <w:jc w:val="both"/>
        <w:rPr>
          <w:rFonts w:ascii="Times New Roman" w:eastAsia="Calibri" w:hAnsi="Times New Roman" w:cs="Times New Roman"/>
          <w:noProof/>
          <w:sz w:val="18"/>
          <w:szCs w:val="18"/>
        </w:rPr>
      </w:pPr>
      <w:r w:rsidRPr="004B0911">
        <w:rPr>
          <w:rFonts w:ascii="Times New Roman" w:eastAsia="Calibri" w:hAnsi="Times New Roman" w:cs="Times New Roman"/>
          <w:noProof/>
          <w:sz w:val="18"/>
          <w:szCs w:val="18"/>
        </w:rPr>
        <w:t xml:space="preserve">2. </w:t>
      </w:r>
      <w:r w:rsidRPr="004B0911">
        <w:rPr>
          <w:rFonts w:ascii="Times New Roman" w:hAnsi="Times New Roman" w:cs="Times New Roman"/>
          <w:noProof/>
          <w:sz w:val="18"/>
          <w:szCs w:val="18"/>
        </w:rPr>
        <w:t>G</w:t>
      </w:r>
      <w:r>
        <w:rPr>
          <w:rFonts w:ascii="Times New Roman" w:hAnsi="Times New Roman" w:cs="Times New Roman"/>
          <w:noProof/>
          <w:sz w:val="18"/>
          <w:szCs w:val="18"/>
        </w:rPr>
        <w:t>eorgian Technical University,</w:t>
      </w:r>
      <w:r w:rsidRPr="004B0911">
        <w:rPr>
          <w:rFonts w:ascii="Times New Roman" w:hAnsi="Times New Roman" w:cs="Times New Roman"/>
          <w:noProof/>
          <w:sz w:val="18"/>
          <w:szCs w:val="18"/>
        </w:rPr>
        <w:t xml:space="preserve"> </w:t>
      </w:r>
      <w:r w:rsidRPr="004B0911">
        <w:rPr>
          <w:rFonts w:ascii="Times New Roman" w:eastAsia="Calibri" w:hAnsi="Times New Roman" w:cs="Times New Roman"/>
          <w:noProof/>
          <w:sz w:val="18"/>
          <w:szCs w:val="18"/>
        </w:rPr>
        <w:t>Tbilisi</w:t>
      </w:r>
      <w:r w:rsidRPr="004B0911">
        <w:rPr>
          <w:rFonts w:ascii="Times New Roman" w:hAnsi="Times New Roman" w:cs="Times New Roman"/>
          <w:noProof/>
          <w:sz w:val="18"/>
          <w:szCs w:val="18"/>
        </w:rPr>
        <w:t xml:space="preserve">, </w:t>
      </w:r>
      <w:r w:rsidRPr="004B0911">
        <w:rPr>
          <w:rFonts w:ascii="Times New Roman" w:eastAsia="Calibri" w:hAnsi="Times New Roman" w:cs="Times New Roman"/>
          <w:noProof/>
          <w:sz w:val="18"/>
          <w:szCs w:val="18"/>
        </w:rPr>
        <w:t>Georgia</w:t>
      </w:r>
      <w:r>
        <w:rPr>
          <w:rFonts w:ascii="Times New Roman" w:eastAsia="Calibri" w:hAnsi="Times New Roman" w:cs="Times New Roman"/>
          <w:noProof/>
          <w:sz w:val="18"/>
          <w:szCs w:val="18"/>
        </w:rPr>
        <w:t>;</w:t>
      </w:r>
    </w:p>
    <w:p w:rsidR="00132C2E" w:rsidRDefault="00132C2E" w:rsidP="00132C2E">
      <w:pPr>
        <w:spacing w:after="0" w:line="240" w:lineRule="auto"/>
        <w:jc w:val="both"/>
        <w:rPr>
          <w:rFonts w:ascii="Times New Roman" w:eastAsia="Calibri" w:hAnsi="Times New Roman" w:cs="Times New Roman"/>
          <w:noProof/>
          <w:sz w:val="18"/>
          <w:szCs w:val="18"/>
        </w:rPr>
      </w:pPr>
      <w:r w:rsidRPr="00132C2E">
        <w:rPr>
          <w:rFonts w:ascii="Times New Roman" w:eastAsia="Calibri" w:hAnsi="Times New Roman" w:cs="Times New Roman"/>
          <w:noProof/>
          <w:sz w:val="18"/>
          <w:szCs w:val="18"/>
        </w:rPr>
        <w:t xml:space="preserve">3. </w:t>
      </w:r>
      <w:r w:rsidRPr="00132C2E">
        <w:rPr>
          <w:rFonts w:ascii="Times New Roman" w:eastAsia="Calibri" w:hAnsi="Times New Roman" w:cs="Times New Roman"/>
          <w:noProof/>
          <w:sz w:val="18"/>
          <w:szCs w:val="18"/>
        </w:rPr>
        <w:t xml:space="preserve">E. Kharadze Abastumani Astrophysical Observatory, </w:t>
      </w:r>
      <w:r w:rsidRPr="00132C2E">
        <w:rPr>
          <w:rFonts w:ascii="Times New Roman" w:eastAsia="Calibri" w:hAnsi="Times New Roman" w:cs="Times New Roman"/>
          <w:noProof/>
          <w:sz w:val="18"/>
          <w:szCs w:val="18"/>
        </w:rPr>
        <w:t>Tbilisi, Georgia</w:t>
      </w:r>
      <w:bookmarkStart w:id="0" w:name="_GoBack"/>
      <w:bookmarkEnd w:id="0"/>
    </w:p>
    <w:p w:rsidR="00132C2E" w:rsidRPr="004B0911" w:rsidRDefault="00132C2E" w:rsidP="00132C2E">
      <w:pPr>
        <w:spacing w:after="0" w:line="240" w:lineRule="auto"/>
        <w:jc w:val="both"/>
        <w:rPr>
          <w:rFonts w:ascii="Times New Roman" w:hAnsi="Times New Roman" w:cs="Times New Roman"/>
          <w:noProof/>
          <w:sz w:val="18"/>
          <w:szCs w:val="18"/>
        </w:rPr>
      </w:pPr>
    </w:p>
    <w:p w:rsidR="00132C2E" w:rsidRDefault="00132C2E" w:rsidP="00132C2E">
      <w:pPr>
        <w:spacing w:after="0" w:line="240" w:lineRule="auto"/>
        <w:jc w:val="both"/>
        <w:rPr>
          <w:rFonts w:ascii="Times New Roman" w:hAnsi="Times New Roman" w:cs="Times New Roman"/>
          <w:b/>
          <w:bCs/>
          <w:color w:val="010202"/>
          <w:sz w:val="18"/>
          <w:szCs w:val="18"/>
        </w:rPr>
      </w:pPr>
      <w:r w:rsidRPr="004B0911">
        <w:rPr>
          <w:rFonts w:ascii="Times New Roman" w:hAnsi="Times New Roman" w:cs="Times New Roman"/>
          <w:b/>
          <w:bCs/>
          <w:color w:val="010202"/>
          <w:sz w:val="18"/>
          <w:szCs w:val="18"/>
        </w:rPr>
        <w:t>ABSTRACT</w:t>
      </w:r>
    </w:p>
    <w:p w:rsidR="00132C2E" w:rsidRPr="004B0911" w:rsidRDefault="00132C2E" w:rsidP="00132C2E">
      <w:pPr>
        <w:spacing w:after="0" w:line="240" w:lineRule="auto"/>
        <w:jc w:val="both"/>
        <w:rPr>
          <w:rFonts w:ascii="Times New Roman" w:hAnsi="Times New Roman" w:cs="Times New Roman"/>
          <w:b/>
          <w:bCs/>
          <w:color w:val="010202"/>
          <w:sz w:val="18"/>
          <w:szCs w:val="18"/>
        </w:rPr>
      </w:pPr>
    </w:p>
    <w:p w:rsidR="00132C2E" w:rsidRDefault="00132C2E" w:rsidP="00132C2E">
      <w:pPr>
        <w:spacing w:after="0" w:line="240" w:lineRule="auto"/>
        <w:jc w:val="both"/>
        <w:rPr>
          <w:rFonts w:ascii="Times New Roman" w:hAnsi="Times New Roman" w:cs="Times New Roman"/>
          <w:bCs/>
          <w:color w:val="010202"/>
          <w:sz w:val="18"/>
          <w:szCs w:val="18"/>
        </w:rPr>
      </w:pPr>
      <w:r w:rsidRPr="004B0911">
        <w:rPr>
          <w:rFonts w:ascii="Times New Roman" w:hAnsi="Times New Roman" w:cs="Times New Roman"/>
          <w:bCs/>
          <w:color w:val="010202"/>
          <w:sz w:val="18"/>
          <w:szCs w:val="18"/>
        </w:rPr>
        <w:t xml:space="preserve">Geomagnetic field (GMF), is characterized by the strength a few </w:t>
      </w:r>
      <w:proofErr w:type="spellStart"/>
      <w:r w:rsidRPr="004B0911">
        <w:rPr>
          <w:rFonts w:ascii="Times New Roman" w:hAnsi="Times New Roman" w:cs="Times New Roman"/>
          <w:bCs/>
          <w:color w:val="010202"/>
          <w:sz w:val="18"/>
          <w:szCs w:val="18"/>
        </w:rPr>
        <w:t>nT</w:t>
      </w:r>
      <w:proofErr w:type="spellEnd"/>
      <w:r w:rsidRPr="004B0911">
        <w:rPr>
          <w:rFonts w:ascii="Times New Roman" w:hAnsi="Times New Roman" w:cs="Times New Roman"/>
          <w:bCs/>
          <w:color w:val="010202"/>
          <w:sz w:val="18"/>
          <w:szCs w:val="18"/>
        </w:rPr>
        <w:t xml:space="preserve">, however during geomagnetic storms (GMSs) it can be sharply increase </w:t>
      </w:r>
      <w:r w:rsidRPr="008724E0">
        <w:rPr>
          <w:rFonts w:ascii="Times New Roman" w:hAnsi="Times New Roman" w:cs="Times New Roman"/>
          <w:bCs/>
          <w:color w:val="010202"/>
          <w:sz w:val="18"/>
          <w:szCs w:val="18"/>
        </w:rPr>
        <w:t xml:space="preserve">in hundreds of times </w:t>
      </w:r>
      <w:r w:rsidRPr="004B0911">
        <w:rPr>
          <w:rFonts w:ascii="Times New Roman" w:hAnsi="Times New Roman" w:cs="Times New Roman"/>
          <w:bCs/>
          <w:color w:val="010202"/>
          <w:sz w:val="18"/>
          <w:szCs w:val="18"/>
        </w:rPr>
        <w:t xml:space="preserve">and pose serious threat to magneto sensitive people. A key scientific </w:t>
      </w:r>
      <w:r>
        <w:rPr>
          <w:rFonts w:ascii="Times New Roman" w:hAnsi="Times New Roman" w:cs="Times New Roman"/>
          <w:bCs/>
          <w:color w:val="010202"/>
          <w:sz w:val="18"/>
          <w:szCs w:val="18"/>
        </w:rPr>
        <w:t xml:space="preserve">question </w:t>
      </w:r>
      <w:r w:rsidRPr="004B0911">
        <w:rPr>
          <w:rFonts w:ascii="Times New Roman" w:hAnsi="Times New Roman" w:cs="Times New Roman"/>
          <w:bCs/>
          <w:color w:val="010202"/>
          <w:sz w:val="18"/>
          <w:szCs w:val="18"/>
        </w:rPr>
        <w:t xml:space="preserve">is: How to compensate the possible negative influence of GMSs. The objective of the study was determining the effects of magneto active compensation (MAC) of GMF for its future use for protection from the negative influence of GMSs. The measuring of </w:t>
      </w:r>
      <w:r w:rsidRPr="00F304D6">
        <w:rPr>
          <w:rFonts w:ascii="Times New Roman" w:hAnsi="Times New Roman" w:cs="Times New Roman"/>
          <w:bCs/>
          <w:color w:val="010202"/>
          <w:sz w:val="18"/>
          <w:szCs w:val="18"/>
        </w:rPr>
        <w:t xml:space="preserve">heart rate variability </w:t>
      </w:r>
      <w:r>
        <w:rPr>
          <w:rFonts w:ascii="Times New Roman" w:hAnsi="Times New Roman" w:cs="Times New Roman"/>
          <w:bCs/>
          <w:color w:val="010202"/>
          <w:sz w:val="18"/>
          <w:szCs w:val="18"/>
        </w:rPr>
        <w:t>(</w:t>
      </w:r>
      <w:r w:rsidRPr="004B0911">
        <w:rPr>
          <w:rFonts w:ascii="Times New Roman" w:hAnsi="Times New Roman" w:cs="Times New Roman"/>
          <w:bCs/>
          <w:color w:val="010202"/>
          <w:sz w:val="18"/>
          <w:szCs w:val="18"/>
        </w:rPr>
        <w:t>HRV</w:t>
      </w:r>
      <w:r>
        <w:rPr>
          <w:rFonts w:ascii="Times New Roman" w:hAnsi="Times New Roman" w:cs="Times New Roman"/>
          <w:bCs/>
          <w:color w:val="010202"/>
          <w:sz w:val="18"/>
          <w:szCs w:val="18"/>
        </w:rPr>
        <w:t>)</w:t>
      </w:r>
      <w:r w:rsidRPr="004B0911">
        <w:rPr>
          <w:rFonts w:ascii="Times New Roman" w:hAnsi="Times New Roman" w:cs="Times New Roman"/>
          <w:bCs/>
          <w:color w:val="010202"/>
          <w:sz w:val="18"/>
          <w:szCs w:val="18"/>
        </w:rPr>
        <w:t xml:space="preserve"> on n=25 healthy young male volunteers was carried out in the lab using the MAC at different levels of outdoor geomagnetic activity (GMA). The geomagnetic K-index was used to characterize the magnitude of GMSs; volunteers were tested during quiet magnetic days (K=1-3), during days with K=4 and during days with GMSs (K≥5).  During quiet magnetic days, the comparison between HRV initial values with values measured under GMS compensation mode (CM) did not reveal any changes. In the days with K=4 some HRV indices shifted from their initial values, but it was statistically not significant. However, on GMSs days statistically significant changes in SDNN (p=0.33) and LF/HF (p=0.034) indices of HRV were observed in the GMS CM compared to their initial values. The experiments showed that GMSs cause a sensitive reaction</w:t>
      </w:r>
      <w:r>
        <w:rPr>
          <w:rFonts w:ascii="Times New Roman" w:hAnsi="Times New Roman" w:cs="Times New Roman"/>
          <w:bCs/>
          <w:color w:val="010202"/>
          <w:sz w:val="18"/>
          <w:szCs w:val="18"/>
        </w:rPr>
        <w:t>s</w:t>
      </w:r>
      <w:r w:rsidRPr="004B0911">
        <w:rPr>
          <w:rFonts w:ascii="Times New Roman" w:hAnsi="Times New Roman" w:cs="Times New Roman"/>
          <w:bCs/>
          <w:color w:val="010202"/>
          <w:sz w:val="18"/>
          <w:szCs w:val="18"/>
        </w:rPr>
        <w:t xml:space="preserve"> of the h</w:t>
      </w:r>
      <w:r>
        <w:rPr>
          <w:rFonts w:ascii="Times New Roman" w:hAnsi="Times New Roman" w:cs="Times New Roman"/>
          <w:bCs/>
          <w:color w:val="010202"/>
          <w:sz w:val="18"/>
          <w:szCs w:val="18"/>
        </w:rPr>
        <w:t>eart rate regulatory mechanism</w:t>
      </w:r>
      <w:r w:rsidRPr="004B0911">
        <w:rPr>
          <w:rFonts w:ascii="Times New Roman" w:hAnsi="Times New Roman" w:cs="Times New Roman"/>
          <w:bCs/>
          <w:color w:val="010202"/>
          <w:sz w:val="18"/>
          <w:szCs w:val="18"/>
        </w:rPr>
        <w:t xml:space="preserve"> the effect of which can be cancelled in the GMS CM. The efficiency of the used MAC technology is supported by the results presented in this paper.</w:t>
      </w:r>
    </w:p>
    <w:p w:rsidR="00BA6902" w:rsidRDefault="00BA6902"/>
    <w:sectPr w:rsidR="00BA690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9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F04AA"/>
    <w:rsid w:val="00132C2E"/>
    <w:rsid w:val="007F04AA"/>
    <w:rsid w:val="00BA690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3D2CEC"/>
  <w15:chartTrackingRefBased/>
  <w15:docId w15:val="{1EBC90E3-36D9-4D9B-9EC5-363072D11B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32C2E"/>
    <w:pPr>
      <w:spacing w:after="20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1</Pages>
  <Words>297</Words>
  <Characters>1695</Characters>
  <Application>Microsoft Office Word</Application>
  <DocSecurity>0</DocSecurity>
  <Lines>14</Lines>
  <Paragraphs>3</Paragraphs>
  <ScaleCrop>false</ScaleCrop>
  <Company/>
  <LinksUpToDate>false</LinksUpToDate>
  <CharactersWithSpaces>1989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2</cp:revision>
  <dcterms:created xsi:type="dcterms:W3CDTF">2020-01-10T04:00:00Z</dcterms:created>
  <dcterms:modified xsi:type="dcterms:W3CDTF">2020-01-10T04:04:00Z</dcterms:modified>
</cp:coreProperties>
</file>