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33C" w:rsidRDefault="00516656" w:rsidP="00B6433C">
      <w:pPr>
        <w:widowControl w:val="0"/>
        <w:spacing w:before="47" w:after="0" w:line="400" w:lineRule="exact"/>
        <w:ind w:left="0"/>
        <w:jc w:val="left"/>
        <w:rPr>
          <w:rFonts w:ascii="Minion Pro" w:eastAsia="Tw Cen MT" w:hAnsi="Tw Cen MT" w:cs="Tw Cen MT"/>
          <w:b/>
          <w:color w:val="337AB7"/>
          <w:sz w:val="36"/>
        </w:rPr>
      </w:pPr>
      <w:r w:rsidRPr="00B6433C">
        <w:rPr>
          <w:rFonts w:ascii="Minion Pro" w:eastAsia="Tw Cen MT" w:hAnsi="Tw Cen MT" w:cs="Tw Cen MT"/>
          <w:b/>
          <w:color w:val="337AB7"/>
          <w:sz w:val="36"/>
        </w:rPr>
        <w:t xml:space="preserve">Effect of </w:t>
      </w:r>
      <w:r w:rsidR="00F61E80" w:rsidRPr="00B6433C">
        <w:rPr>
          <w:rFonts w:ascii="Minion Pro" w:eastAsia="Tw Cen MT" w:hAnsi="Tw Cen MT" w:cs="Tw Cen MT"/>
          <w:b/>
          <w:color w:val="337AB7"/>
          <w:sz w:val="36"/>
        </w:rPr>
        <w:t xml:space="preserve">Sex and </w:t>
      </w:r>
      <w:r w:rsidRPr="00B6433C">
        <w:rPr>
          <w:rFonts w:ascii="Minion Pro" w:eastAsia="Tw Cen MT" w:hAnsi="Tw Cen MT" w:cs="Tw Cen MT"/>
          <w:b/>
          <w:color w:val="337AB7"/>
          <w:sz w:val="36"/>
        </w:rPr>
        <w:t xml:space="preserve">Seasons on </w:t>
      </w:r>
      <w:r w:rsidR="00F61E80" w:rsidRPr="00B6433C">
        <w:rPr>
          <w:rFonts w:ascii="Minion Pro" w:eastAsia="Tw Cen MT" w:hAnsi="Tw Cen MT" w:cs="Tw Cen MT"/>
          <w:b/>
          <w:color w:val="337AB7"/>
          <w:sz w:val="36"/>
        </w:rPr>
        <w:t>Physical</w:t>
      </w:r>
      <w:r w:rsidRPr="00B6433C">
        <w:rPr>
          <w:rFonts w:ascii="Minion Pro" w:eastAsia="Tw Cen MT" w:hAnsi="Tw Cen MT" w:cs="Tw Cen MT"/>
          <w:b/>
          <w:color w:val="337AB7"/>
          <w:sz w:val="36"/>
        </w:rPr>
        <w:t xml:space="preserve"> Examination, Rumen Fermentation Efficiency and Blood Profile </w:t>
      </w:r>
      <w:r w:rsidR="000577EE" w:rsidRPr="00B6433C">
        <w:rPr>
          <w:rFonts w:ascii="Minion Pro" w:eastAsia="Tw Cen MT" w:hAnsi="Tw Cen MT" w:cs="Tw Cen MT"/>
          <w:b/>
          <w:color w:val="337AB7"/>
          <w:sz w:val="36"/>
        </w:rPr>
        <w:t>in</w:t>
      </w:r>
      <w:r w:rsidRPr="00B6433C">
        <w:rPr>
          <w:rFonts w:ascii="Minion Pro" w:eastAsia="Tw Cen MT" w:hAnsi="Tw Cen MT" w:cs="Tw Cen MT"/>
          <w:b/>
          <w:color w:val="337AB7"/>
          <w:sz w:val="36"/>
        </w:rPr>
        <w:t xml:space="preserve"> Apparently Healthy Baladi Egyptian Sheep</w:t>
      </w:r>
    </w:p>
    <w:p w:rsidR="00EC2B41" w:rsidRPr="00B6433C" w:rsidRDefault="00EC2B41" w:rsidP="00B6433C">
      <w:pPr>
        <w:widowControl w:val="0"/>
        <w:spacing w:before="47" w:after="0" w:line="400" w:lineRule="exact"/>
        <w:ind w:left="0"/>
        <w:jc w:val="left"/>
        <w:rPr>
          <w:rFonts w:ascii="Minion Pro" w:eastAsia="Tw Cen MT" w:hAnsi="Tw Cen MT" w:cs="Tw Cen MT"/>
          <w:b/>
          <w:color w:val="337AB7"/>
          <w:sz w:val="36"/>
        </w:rPr>
      </w:pPr>
    </w:p>
    <w:p w:rsidR="007F349B" w:rsidRDefault="007F349B" w:rsidP="007F349B">
      <w:pPr>
        <w:spacing w:line="240" w:lineRule="auto"/>
        <w:ind w:left="0" w:right="43"/>
        <w:jc w:val="left"/>
        <w:rPr>
          <w:rFonts w:ascii="Arial" w:eastAsia="Tw Cen MT" w:hAnsi="Tw Cen MT" w:cs="Tw Cen MT"/>
          <w:sz w:val="18"/>
          <w:szCs w:val="18"/>
        </w:rPr>
      </w:pPr>
      <w:r>
        <w:rPr>
          <w:rFonts w:ascii="Arial" w:eastAsia="Tw Cen MT" w:hAnsi="Tw Cen MT" w:cs="Tw Cen MT"/>
          <w:sz w:val="18"/>
          <w:szCs w:val="18"/>
        </w:rPr>
        <w:t xml:space="preserve">Saber, M., </w:t>
      </w:r>
      <w:r w:rsidRPr="007F349B">
        <w:rPr>
          <w:rFonts w:ascii="Arial" w:eastAsia="Tw Cen MT" w:hAnsi="Tw Cen MT" w:cs="Tw Cen MT"/>
          <w:sz w:val="18"/>
          <w:szCs w:val="18"/>
        </w:rPr>
        <w:t>B. Sc.</w:t>
      </w:r>
      <w:r w:rsidRPr="007F349B">
        <w:rPr>
          <w:rFonts w:ascii="Arial" w:eastAsia="Tw Cen MT" w:hAnsi="Tw Cen MT" w:cs="Tw Cen MT"/>
          <w:sz w:val="18"/>
          <w:szCs w:val="18"/>
        </w:rPr>
        <w:t xml:space="preserve">, </w:t>
      </w:r>
      <w:r w:rsidRPr="007F349B">
        <w:rPr>
          <w:rFonts w:ascii="Arial" w:eastAsia="Tw Cen MT" w:hAnsi="Tw Cen MT" w:cs="Tw Cen MT"/>
          <w:sz w:val="18"/>
          <w:szCs w:val="18"/>
        </w:rPr>
        <w:t>M. Sc.</w:t>
      </w:r>
      <w:r w:rsidRPr="007F349B">
        <w:rPr>
          <w:rFonts w:ascii="Arial" w:eastAsia="Tw Cen MT" w:hAnsi="Tw Cen MT" w:cs="Tw Cen MT"/>
          <w:sz w:val="18"/>
          <w:szCs w:val="18"/>
        </w:rPr>
        <w:t xml:space="preserve">, </w:t>
      </w:r>
      <w:r w:rsidRPr="007F349B">
        <w:rPr>
          <w:rFonts w:ascii="Arial" w:eastAsia="Tw Cen MT" w:hAnsi="Tw Cen MT" w:cs="Tw Cen MT"/>
          <w:sz w:val="18"/>
          <w:szCs w:val="18"/>
        </w:rPr>
        <w:t>Faculty of Veterinary Medicine, Cairo University, Egypt.</w:t>
      </w:r>
      <w:r>
        <w:rPr>
          <w:rFonts w:ascii="Arial" w:eastAsia="Tw Cen MT" w:hAnsi="Tw Cen MT" w:cs="Tw Cen MT"/>
          <w:sz w:val="18"/>
          <w:szCs w:val="18"/>
        </w:rPr>
        <w:br/>
        <w:t xml:space="preserve">Tayeb, F.M., M. Sc., PhD, </w:t>
      </w:r>
      <w:r w:rsidRPr="007F349B">
        <w:rPr>
          <w:rFonts w:ascii="Arial" w:eastAsia="Tw Cen MT" w:hAnsi="Tw Cen MT" w:cs="Tw Cen MT"/>
          <w:sz w:val="18"/>
          <w:szCs w:val="18"/>
        </w:rPr>
        <w:t>Faculty of Veterinary Medicine, Cairo University, Egypt</w:t>
      </w:r>
      <w:r>
        <w:rPr>
          <w:rFonts w:ascii="Arial" w:eastAsia="Tw Cen MT" w:hAnsi="Tw Cen MT" w:cs="Tw Cen MT"/>
          <w:sz w:val="18"/>
          <w:szCs w:val="18"/>
        </w:rPr>
        <w:br/>
        <w:t xml:space="preserve">Baraka, T. A., </w:t>
      </w:r>
      <w:r>
        <w:rPr>
          <w:rFonts w:ascii="Arial" w:eastAsia="Tw Cen MT" w:hAnsi="Tw Cen MT" w:cs="Tw Cen MT"/>
          <w:sz w:val="18"/>
          <w:szCs w:val="18"/>
        </w:rPr>
        <w:t xml:space="preserve">M. Sc., PhD, </w:t>
      </w:r>
      <w:r w:rsidRPr="007F349B">
        <w:rPr>
          <w:rFonts w:ascii="Arial" w:eastAsia="Tw Cen MT" w:hAnsi="Tw Cen MT" w:cs="Tw Cen MT"/>
          <w:sz w:val="18"/>
          <w:szCs w:val="18"/>
        </w:rPr>
        <w:t>Faculty of Veterinary Medicine, Cairo University, Egypt</w:t>
      </w:r>
    </w:p>
    <w:p w:rsidR="00516656" w:rsidRPr="00CF2D52" w:rsidRDefault="00516656" w:rsidP="00CF2D52">
      <w:pPr>
        <w:pStyle w:val="Heading3"/>
        <w:spacing w:line="218" w:lineRule="exact"/>
        <w:jc w:val="both"/>
        <w:rPr>
          <w:color w:val="BF5A14"/>
        </w:rPr>
      </w:pPr>
      <w:r w:rsidRPr="00CF2D52">
        <w:rPr>
          <w:color w:val="BF5A14"/>
        </w:rPr>
        <w:t>Abstract</w:t>
      </w:r>
    </w:p>
    <w:tbl>
      <w:tblPr>
        <w:tblStyle w:val="Style1"/>
        <w:tblW w:w="11366" w:type="dxa"/>
        <w:tblBorders>
          <w:top w:val="none" w:sz="0" w:space="0" w:color="auto"/>
          <w:bottom w:val="none" w:sz="0" w:space="0" w:color="auto"/>
        </w:tblBorders>
        <w:tblLook w:val="04A0" w:firstRow="1" w:lastRow="0" w:firstColumn="1" w:lastColumn="0" w:noHBand="0" w:noVBand="1"/>
      </w:tblPr>
      <w:tblGrid>
        <w:gridCol w:w="5651"/>
        <w:gridCol w:w="5715"/>
      </w:tblGrid>
      <w:tr w:rsidR="00D6137B" w:rsidTr="00D50A4C">
        <w:trPr>
          <w:cnfStyle w:val="100000000000" w:firstRow="1" w:lastRow="0" w:firstColumn="0" w:lastColumn="0" w:oddVBand="0" w:evenVBand="0" w:oddHBand="0" w:evenHBand="0" w:firstRowFirstColumn="0" w:firstRowLastColumn="0" w:lastRowFirstColumn="0" w:lastRowLastColumn="0"/>
          <w:trHeight w:val="7316"/>
        </w:trPr>
        <w:tc>
          <w:tcPr>
            <w:cnfStyle w:val="001000000000" w:firstRow="0" w:lastRow="0" w:firstColumn="1" w:lastColumn="0" w:oddVBand="0" w:evenVBand="0" w:oddHBand="0" w:evenHBand="0" w:firstRowFirstColumn="0" w:firstRowLastColumn="0" w:lastRowFirstColumn="0" w:lastRowLastColumn="0"/>
            <w:tcW w:w="5651" w:type="dxa"/>
            <w:tcBorders>
              <w:top w:val="none" w:sz="0" w:space="0" w:color="auto"/>
              <w:left w:val="none" w:sz="0" w:space="0" w:color="auto"/>
              <w:bottom w:val="none" w:sz="0" w:space="0" w:color="auto"/>
              <w:right w:val="none" w:sz="0" w:space="0" w:color="auto"/>
            </w:tcBorders>
          </w:tcPr>
          <w:p w:rsidR="00635AD5" w:rsidRDefault="00635AD5" w:rsidP="00635AD5">
            <w:pPr>
              <w:pStyle w:val="BodyText"/>
              <w:spacing w:before="53" w:line="264" w:lineRule="auto"/>
              <w:ind w:left="100"/>
              <w:jc w:val="both"/>
              <w:rPr>
                <w:b w:val="0"/>
                <w:bCs/>
              </w:rPr>
            </w:pPr>
            <w:r w:rsidRPr="00635AD5">
              <w:rPr>
                <w:b w:val="0"/>
                <w:bCs/>
              </w:rPr>
              <w:t xml:space="preserve">Rumen fermentation efficiency of clinically healthy sheep is extensively influenced by numerous factors. This research studied the effect of sex and seasons on physical examination, rumen fermentation pattern and blood profile in apparently healthy Baladi native breed Egyptian sheep. A total number of fifty-six apparently healthy Baladi Egyptian sheep were classified according to sex into twenty-four rams and thirty-two ewes and according to seasons into fifteen in autumn, ten in winter, sixteen in spring and fifteen in summer. All animals were subjected to detailed case history, comprehensive physical examination and blood and rumen liquor sampling for analysis. </w:t>
            </w:r>
          </w:p>
          <w:p w:rsidR="00635AD5" w:rsidRDefault="00635AD5" w:rsidP="00635AD5">
            <w:pPr>
              <w:pStyle w:val="BodyText"/>
              <w:spacing w:before="53" w:line="264" w:lineRule="auto"/>
              <w:ind w:left="100"/>
              <w:jc w:val="both"/>
              <w:rPr>
                <w:b w:val="0"/>
                <w:bCs/>
              </w:rPr>
            </w:pPr>
            <w:r w:rsidRPr="00635AD5">
              <w:rPr>
                <w:b w:val="0"/>
                <w:bCs/>
              </w:rPr>
              <w:t>Obtained results revealed that sex of sheep had no significant effect on physical examination, blood and rumen liquor constituents with an exception of some rumen fermentation characteristics; ewes had significant increase in propionic acid, while rams had significant increase in butyric acid and methane production. Autumn showed a significant increase in rumen pH and, rumen acetic acid with a significant decrease in rumen TPC, rumen Epidinium %, rumen NH3-N, rumen calcium and RBCs count. Winter had a significant increase in rumen Epidinium %, rumen TPC, rumen lactic, butyric acids, rumen calcium, rumen magnesium, RBCs count, MCHC, WBCs count, total protein, globulin and serum magnesium with a significant decrease in rumen Entodinium%, PCV, MCV, A/G ratio and serum urea nitrogen. Spring showed a significant increase in neutrophils %, rumen ALT and GGT activities with a significant decrease in serum phosphorous level. Summer had a significant increase in serum urea nitrogen with a significant decrease in rumen total VFAs, rumen lactic, butyric acids, rumen CH4 and rumen magnesium. It could be concluded that seasons of year had minimal significant effect on physical examination but remarkable significant effect on blood profile and rumen fermentation pattern in Egyptian sheep which had better rumen fermentation efficiency and blood profile in spring and winter seasons than sheep in autumn and summer. Rumen ciliates, rumen enzymes and rumen fermentative methane are important secrets in sheep rumenology and need further investigations for therapeutic and productive purposes.</w:t>
            </w:r>
          </w:p>
          <w:p w:rsidR="00D50A4C" w:rsidRDefault="00101B03" w:rsidP="00683D9B">
            <w:pPr>
              <w:pStyle w:val="Heading3"/>
              <w:outlineLvl w:val="2"/>
            </w:pPr>
            <w:bookmarkStart w:id="0" w:name="_GoBack"/>
            <w:r>
              <w:rPr>
                <w:noProof/>
              </w:rPr>
              <w:drawing>
                <wp:anchor distT="0" distB="0" distL="114300" distR="114300" simplePos="0" relativeHeight="251623424" behindDoc="0" locked="0" layoutInCell="1" allowOverlap="1">
                  <wp:simplePos x="0" y="0"/>
                  <wp:positionH relativeFrom="column">
                    <wp:posOffset>774700</wp:posOffset>
                  </wp:positionH>
                  <wp:positionV relativeFrom="paragraph">
                    <wp:posOffset>91440</wp:posOffset>
                  </wp:positionV>
                  <wp:extent cx="2266950" cy="16338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eason image.png"/>
                          <pic:cNvPicPr/>
                        </pic:nvPicPr>
                        <pic:blipFill>
                          <a:blip r:embed="rId5">
                            <a:extLst>
                              <a:ext uri="{28A0092B-C50C-407E-A947-70E740481C1C}">
                                <a14:useLocalDpi xmlns:a14="http://schemas.microsoft.com/office/drawing/2010/main" val="0"/>
                              </a:ext>
                            </a:extLst>
                          </a:blip>
                          <a:stretch>
                            <a:fillRect/>
                          </a:stretch>
                        </pic:blipFill>
                        <pic:spPr>
                          <a:xfrm>
                            <a:off x="0" y="0"/>
                            <a:ext cx="2266950" cy="1633855"/>
                          </a:xfrm>
                          <a:prstGeom prst="rect">
                            <a:avLst/>
                          </a:prstGeom>
                        </pic:spPr>
                      </pic:pic>
                    </a:graphicData>
                  </a:graphic>
                  <wp14:sizeRelH relativeFrom="margin">
                    <wp14:pctWidth>0</wp14:pctWidth>
                  </wp14:sizeRelH>
                  <wp14:sizeRelV relativeFrom="margin">
                    <wp14:pctHeight>0</wp14:pctHeight>
                  </wp14:sizeRelV>
                </wp:anchor>
              </w:drawing>
            </w:r>
            <w:bookmarkEnd w:id="0"/>
            <w:r w:rsidR="00D50A4C">
              <w:rPr>
                <w:color w:val="BF5A14"/>
              </w:rPr>
              <w:t>Image</w:t>
            </w:r>
          </w:p>
          <w:p w:rsidR="003E1E17" w:rsidRDefault="003E1E17" w:rsidP="00683D9B">
            <w:pPr>
              <w:pStyle w:val="Heading3"/>
              <w:outlineLvl w:val="2"/>
            </w:pPr>
          </w:p>
          <w:p w:rsidR="003E1E17" w:rsidRDefault="003E1E17" w:rsidP="00683D9B">
            <w:pPr>
              <w:pStyle w:val="Heading3"/>
            </w:pPr>
          </w:p>
        </w:tc>
        <w:tc>
          <w:tcPr>
            <w:tcW w:w="5715" w:type="dxa"/>
            <w:tcBorders>
              <w:top w:val="none" w:sz="0" w:space="0" w:color="auto"/>
              <w:left w:val="none" w:sz="0" w:space="0" w:color="auto"/>
              <w:bottom w:val="none" w:sz="0" w:space="0" w:color="auto"/>
              <w:right w:val="none" w:sz="0" w:space="0" w:color="auto"/>
            </w:tcBorders>
          </w:tcPr>
          <w:p w:rsidR="00635AD5" w:rsidRPr="004349C5" w:rsidRDefault="00635AD5" w:rsidP="004349C5">
            <w:pPr>
              <w:pStyle w:val="Heading3"/>
              <w:spacing w:line="218" w:lineRule="exact"/>
              <w:jc w:val="center"/>
              <w:cnfStyle w:val="100000000000" w:firstRow="1" w:lastRow="0" w:firstColumn="0" w:lastColumn="0" w:oddVBand="0" w:evenVBand="0" w:oddHBand="0" w:evenHBand="0" w:firstRowFirstColumn="0" w:firstRowLastColumn="0" w:lastRowFirstColumn="0" w:lastRowLastColumn="0"/>
              <w:rPr>
                <w:b/>
                <w:color w:val="BF5A14"/>
              </w:rPr>
            </w:pPr>
            <w:r w:rsidRPr="004349C5">
              <w:rPr>
                <w:rFonts w:ascii="Tw Cen MT" w:eastAsia="Tw Cen MT" w:hAnsi="Tw Cen MT" w:cs="Tw Cen MT"/>
                <w:b/>
                <w:bCs w:val="0"/>
                <w:sz w:val="18"/>
                <w:szCs w:val="18"/>
              </w:rPr>
              <w:br w:type="column"/>
            </w:r>
            <w:r w:rsidRPr="004349C5">
              <w:rPr>
                <w:b/>
                <w:color w:val="BF5A14"/>
              </w:rPr>
              <w:t>Biography</w:t>
            </w:r>
          </w:p>
          <w:p w:rsidR="00635AD5" w:rsidRDefault="00D9585D" w:rsidP="004349C5">
            <w:pPr>
              <w:cnfStyle w:val="100000000000" w:firstRow="1" w:lastRow="0" w:firstColumn="0" w:lastColumn="0" w:oddVBand="0" w:evenVBand="0" w:oddHBand="0" w:evenHBand="0" w:firstRowFirstColumn="0" w:firstRowLastColumn="0" w:lastRowFirstColumn="0" w:lastRowLastColumn="0"/>
              <w:rPr>
                <w:rFonts w:ascii="Tw Cen MT" w:eastAsia="Tw Cen MT" w:hAnsi="Tw Cen MT" w:cs="Tw Cen MT"/>
                <w:b w:val="0"/>
                <w:bCs/>
                <w:sz w:val="18"/>
                <w:szCs w:val="18"/>
              </w:rPr>
            </w:pPr>
            <w:r w:rsidRPr="004349C5">
              <w:rPr>
                <w:rFonts w:ascii="Tw Cen MT" w:eastAsia="Tw Cen MT" w:hAnsi="Tw Cen MT" w:cs="Tw Cen MT"/>
                <w:b w:val="0"/>
                <w:bCs/>
                <w:sz w:val="18"/>
                <w:szCs w:val="18"/>
              </w:rPr>
              <w:drawing>
                <wp:anchor distT="0" distB="0" distL="114300" distR="114300" simplePos="0" relativeHeight="251585536" behindDoc="0" locked="0" layoutInCell="1" allowOverlap="1">
                  <wp:simplePos x="0" y="0"/>
                  <wp:positionH relativeFrom="column">
                    <wp:posOffset>194945</wp:posOffset>
                  </wp:positionH>
                  <wp:positionV relativeFrom="paragraph">
                    <wp:posOffset>76835</wp:posOffset>
                  </wp:positionV>
                  <wp:extent cx="737235" cy="781050"/>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ber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7235" cy="781050"/>
                          </a:xfrm>
                          <a:prstGeom prst="rect">
                            <a:avLst/>
                          </a:prstGeom>
                        </pic:spPr>
                      </pic:pic>
                    </a:graphicData>
                  </a:graphic>
                  <wp14:sizeRelH relativeFrom="margin">
                    <wp14:pctWidth>0</wp14:pctWidth>
                  </wp14:sizeRelH>
                  <wp14:sizeRelV relativeFrom="margin">
                    <wp14:pctHeight>0</wp14:pctHeight>
                  </wp14:sizeRelV>
                </wp:anchor>
              </w:drawing>
            </w:r>
            <w:r w:rsidR="0032309F" w:rsidRPr="004349C5">
              <w:rPr>
                <w:rFonts w:ascii="Tw Cen MT" w:eastAsia="Tw Cen MT" w:hAnsi="Tw Cen MT" w:cs="Tw Cen MT"/>
                <w:b w:val="0"/>
                <w:bCs/>
                <w:sz w:val="18"/>
                <w:szCs w:val="18"/>
              </w:rPr>
              <w:t>Mahmoud Saber has his expertise in ruminant medicine. He obtained his master degree in small ruminant medicine.</w:t>
            </w:r>
            <w:r w:rsidRPr="004349C5">
              <w:rPr>
                <w:rFonts w:ascii="Tw Cen MT" w:eastAsia="Tw Cen MT" w:hAnsi="Tw Cen MT" w:cs="Tw Cen MT"/>
                <w:b w:val="0"/>
                <w:bCs/>
                <w:sz w:val="18"/>
                <w:szCs w:val="18"/>
              </w:rPr>
              <w:t xml:space="preserve"> He builds his experience via teaching as an assistant lecturer of </w:t>
            </w:r>
            <w:r w:rsidR="00035C64">
              <w:rPr>
                <w:rFonts w:ascii="Tw Cen MT" w:eastAsia="Tw Cen MT" w:hAnsi="Tw Cen MT" w:cs="Tw Cen MT"/>
                <w:b w:val="0"/>
                <w:bCs/>
                <w:sz w:val="18"/>
                <w:szCs w:val="18"/>
              </w:rPr>
              <w:t xml:space="preserve">internal </w:t>
            </w:r>
            <w:r w:rsidRPr="004349C5">
              <w:rPr>
                <w:rFonts w:ascii="Tw Cen MT" w:eastAsia="Tw Cen MT" w:hAnsi="Tw Cen MT" w:cs="Tw Cen MT"/>
                <w:b w:val="0"/>
                <w:bCs/>
                <w:sz w:val="18"/>
                <w:szCs w:val="18"/>
              </w:rPr>
              <w:t xml:space="preserve">medicine in addition to being a veterinary clinician in veterinary teaching hospital, Cairo University. Now, his </w:t>
            </w:r>
            <w:r w:rsidR="00D6137B" w:rsidRPr="004349C5">
              <w:rPr>
                <w:rFonts w:ascii="Tw Cen MT" w:eastAsia="Tw Cen MT" w:hAnsi="Tw Cen MT" w:cs="Tw Cen MT"/>
                <w:b w:val="0"/>
                <w:bCs/>
                <w:sz w:val="18"/>
                <w:szCs w:val="18"/>
              </w:rPr>
              <w:t xml:space="preserve">running </w:t>
            </w:r>
            <w:r w:rsidRPr="004349C5">
              <w:rPr>
                <w:rFonts w:ascii="Tw Cen MT" w:eastAsia="Tw Cen MT" w:hAnsi="Tw Cen MT" w:cs="Tw Cen MT"/>
                <w:b w:val="0"/>
                <w:bCs/>
                <w:sz w:val="18"/>
                <w:szCs w:val="18"/>
              </w:rPr>
              <w:t xml:space="preserve">PhD </w:t>
            </w:r>
            <w:r w:rsidR="00D6137B">
              <w:rPr>
                <w:rFonts w:ascii="Tw Cen MT" w:eastAsia="Tw Cen MT" w:hAnsi="Tw Cen MT" w:cs="Tw Cen MT"/>
                <w:b w:val="0"/>
                <w:bCs/>
                <w:sz w:val="18"/>
                <w:szCs w:val="18"/>
              </w:rPr>
              <w:t>on</w:t>
            </w:r>
            <w:r w:rsidRPr="004349C5">
              <w:rPr>
                <w:rFonts w:ascii="Tw Cen MT" w:eastAsia="Tw Cen MT" w:hAnsi="Tw Cen MT" w:cs="Tw Cen MT"/>
                <w:b w:val="0"/>
                <w:bCs/>
                <w:sz w:val="18"/>
                <w:szCs w:val="18"/>
              </w:rPr>
              <w:t xml:space="preserve"> ruminant medicine </w:t>
            </w:r>
            <w:r w:rsidR="00D6137B">
              <w:rPr>
                <w:rFonts w:ascii="Tw Cen MT" w:eastAsia="Tw Cen MT" w:hAnsi="Tw Cen MT" w:cs="Tw Cen MT"/>
                <w:b w:val="0"/>
                <w:bCs/>
                <w:sz w:val="18"/>
                <w:szCs w:val="18"/>
              </w:rPr>
              <w:t>tries</w:t>
            </w:r>
            <w:r w:rsidR="004349C5" w:rsidRPr="004349C5">
              <w:rPr>
                <w:rFonts w:ascii="Tw Cen MT" w:eastAsia="Tw Cen MT" w:hAnsi="Tw Cen MT" w:cs="Tw Cen MT"/>
                <w:b w:val="0"/>
                <w:bCs/>
                <w:sz w:val="18"/>
                <w:szCs w:val="18"/>
              </w:rPr>
              <w:t xml:space="preserve"> </w:t>
            </w:r>
            <w:r w:rsidR="004349C5" w:rsidRPr="004349C5">
              <w:rPr>
                <w:rFonts w:ascii="Tw Cen MT" w:eastAsia="Tw Cen MT" w:hAnsi="Tw Cen MT" w:cs="Tw Cen MT"/>
                <w:b w:val="0"/>
                <w:bCs/>
                <w:sz w:val="18"/>
                <w:szCs w:val="18"/>
              </w:rPr>
              <w:t xml:space="preserve">to understand rumen fermentation pattern, </w:t>
            </w:r>
            <w:r w:rsidR="009E5E76">
              <w:rPr>
                <w:rFonts w:ascii="Tw Cen MT" w:eastAsia="Tw Cen MT" w:hAnsi="Tw Cen MT" w:cs="Tw Cen MT"/>
                <w:b w:val="0"/>
                <w:bCs/>
                <w:sz w:val="18"/>
                <w:szCs w:val="18"/>
              </w:rPr>
              <w:t xml:space="preserve">rumen </w:t>
            </w:r>
            <w:r w:rsidR="004349C5" w:rsidRPr="004349C5">
              <w:rPr>
                <w:rFonts w:ascii="Tw Cen MT" w:eastAsia="Tw Cen MT" w:hAnsi="Tw Cen MT" w:cs="Tw Cen MT"/>
                <w:b w:val="0"/>
                <w:bCs/>
                <w:sz w:val="18"/>
                <w:szCs w:val="18"/>
              </w:rPr>
              <w:t xml:space="preserve">protozoal identification and </w:t>
            </w:r>
            <w:r w:rsidR="004349C5">
              <w:rPr>
                <w:rFonts w:ascii="Tw Cen MT" w:eastAsia="Tw Cen MT" w:hAnsi="Tw Cen MT" w:cs="Tw Cen MT"/>
                <w:b w:val="0"/>
                <w:bCs/>
                <w:sz w:val="18"/>
                <w:szCs w:val="18"/>
              </w:rPr>
              <w:t xml:space="preserve">its role in prevention and </w:t>
            </w:r>
            <w:r w:rsidR="004349C5" w:rsidRPr="004349C5">
              <w:rPr>
                <w:rFonts w:ascii="Tw Cen MT" w:eastAsia="Tw Cen MT" w:hAnsi="Tw Cen MT" w:cs="Tw Cen MT"/>
                <w:b w:val="0"/>
                <w:bCs/>
                <w:sz w:val="18"/>
                <w:szCs w:val="18"/>
              </w:rPr>
              <w:t xml:space="preserve">control </w:t>
            </w:r>
            <w:r w:rsidR="004349C5">
              <w:rPr>
                <w:rFonts w:ascii="Tw Cen MT" w:eastAsia="Tw Cen MT" w:hAnsi="Tw Cen MT" w:cs="Tw Cen MT"/>
                <w:b w:val="0"/>
                <w:bCs/>
                <w:sz w:val="18"/>
                <w:szCs w:val="18"/>
              </w:rPr>
              <w:t xml:space="preserve">of digestive disorders. </w:t>
            </w:r>
            <w:r w:rsidR="009E5E76">
              <w:rPr>
                <w:rFonts w:ascii="Tw Cen MT" w:eastAsia="Tw Cen MT" w:hAnsi="Tw Cen MT" w:cs="Tw Cen MT"/>
                <w:b w:val="0"/>
                <w:bCs/>
                <w:sz w:val="18"/>
                <w:szCs w:val="18"/>
              </w:rPr>
              <w:t xml:space="preserve">Also, </w:t>
            </w:r>
            <w:r w:rsidR="00035C64">
              <w:rPr>
                <w:rFonts w:ascii="Tw Cen MT" w:eastAsia="Tw Cen MT" w:hAnsi="Tw Cen MT" w:cs="Tw Cen MT"/>
                <w:b w:val="0"/>
                <w:bCs/>
                <w:sz w:val="18"/>
                <w:szCs w:val="18"/>
              </w:rPr>
              <w:t xml:space="preserve">effect of rumen protozoa </w:t>
            </w:r>
            <w:r w:rsidR="00D6137B">
              <w:rPr>
                <w:rFonts w:ascii="Tw Cen MT" w:eastAsia="Tw Cen MT" w:hAnsi="Tw Cen MT" w:cs="Tw Cen MT"/>
                <w:b w:val="0"/>
                <w:bCs/>
                <w:sz w:val="18"/>
                <w:szCs w:val="18"/>
              </w:rPr>
              <w:t xml:space="preserve">defaunation and or transfaunation </w:t>
            </w:r>
            <w:r w:rsidR="00035C64">
              <w:rPr>
                <w:rFonts w:ascii="Tw Cen MT" w:eastAsia="Tw Cen MT" w:hAnsi="Tw Cen MT" w:cs="Tw Cen MT"/>
                <w:b w:val="0"/>
                <w:bCs/>
                <w:sz w:val="18"/>
                <w:szCs w:val="18"/>
              </w:rPr>
              <w:t xml:space="preserve">on milk quantity and composition </w:t>
            </w:r>
            <w:r w:rsidR="00985778">
              <w:rPr>
                <w:rFonts w:ascii="Tw Cen MT" w:eastAsia="Tw Cen MT" w:hAnsi="Tw Cen MT" w:cs="Tw Cen MT"/>
                <w:b w:val="0"/>
                <w:bCs/>
                <w:sz w:val="18"/>
                <w:szCs w:val="18"/>
              </w:rPr>
              <w:t>which in-turn reflects on i</w:t>
            </w:r>
            <w:r w:rsidR="00EC2B41">
              <w:rPr>
                <w:rFonts w:ascii="Tw Cen MT" w:eastAsia="Tw Cen MT" w:hAnsi="Tw Cen MT" w:cs="Tw Cen MT"/>
                <w:b w:val="0"/>
                <w:bCs/>
                <w:sz w:val="18"/>
                <w:szCs w:val="18"/>
              </w:rPr>
              <w:t>ndividual and national economy. R</w:t>
            </w:r>
            <w:r w:rsidR="00D6137B">
              <w:rPr>
                <w:rFonts w:ascii="Tw Cen MT" w:eastAsia="Tw Cen MT" w:hAnsi="Tw Cen MT" w:cs="Tw Cen MT"/>
                <w:b w:val="0"/>
                <w:bCs/>
                <w:sz w:val="18"/>
                <w:szCs w:val="18"/>
              </w:rPr>
              <w:t>egarding</w:t>
            </w:r>
            <w:r w:rsidR="00D6137B" w:rsidRPr="00D6137B">
              <w:rPr>
                <w:rFonts w:ascii="Tw Cen MT" w:eastAsia="Tw Cen MT" w:hAnsi="Tw Cen MT" w:cs="Tw Cen MT"/>
                <w:b w:val="0"/>
                <w:bCs/>
                <w:sz w:val="18"/>
                <w:szCs w:val="18"/>
              </w:rPr>
              <w:t xml:space="preserve"> stakeholders, </w:t>
            </w:r>
            <w:r w:rsidR="00C52CD8">
              <w:rPr>
                <w:rFonts w:ascii="Tw Cen MT" w:eastAsia="Tw Cen MT" w:hAnsi="Tw Cen MT" w:cs="Tw Cen MT"/>
                <w:b w:val="0"/>
                <w:bCs/>
                <w:sz w:val="18"/>
                <w:szCs w:val="18"/>
              </w:rPr>
              <w:t xml:space="preserve">fresh or </w:t>
            </w:r>
            <w:r w:rsidR="00D6137B" w:rsidRPr="00D6137B">
              <w:rPr>
                <w:rFonts w:ascii="Tw Cen MT" w:eastAsia="Tw Cen MT" w:hAnsi="Tw Cen MT" w:cs="Tw Cen MT"/>
                <w:b w:val="0"/>
                <w:bCs/>
                <w:sz w:val="18"/>
                <w:szCs w:val="18"/>
              </w:rPr>
              <w:t xml:space="preserve">in-vitro prepared </w:t>
            </w:r>
            <w:r w:rsidR="00C52CD8">
              <w:rPr>
                <w:rFonts w:ascii="Tw Cen MT" w:eastAsia="Tw Cen MT" w:hAnsi="Tw Cen MT" w:cs="Tw Cen MT"/>
                <w:b w:val="0"/>
                <w:bCs/>
                <w:sz w:val="18"/>
                <w:szCs w:val="18"/>
              </w:rPr>
              <w:t xml:space="preserve">rumen </w:t>
            </w:r>
            <w:r w:rsidR="00D6137B" w:rsidRPr="00D6137B">
              <w:rPr>
                <w:rFonts w:ascii="Tw Cen MT" w:eastAsia="Tw Cen MT" w:hAnsi="Tw Cen MT" w:cs="Tw Cen MT"/>
                <w:b w:val="0"/>
                <w:bCs/>
                <w:sz w:val="18"/>
                <w:szCs w:val="18"/>
              </w:rPr>
              <w:t>protozoal preparations could be lyophilized to be patent and commercially ready to use</w:t>
            </w:r>
            <w:r w:rsidR="00C52CD8">
              <w:rPr>
                <w:rFonts w:ascii="Tw Cen MT" w:eastAsia="Tw Cen MT" w:hAnsi="Tw Cen MT" w:cs="Tw Cen MT"/>
                <w:b w:val="0"/>
                <w:bCs/>
                <w:sz w:val="18"/>
                <w:szCs w:val="18"/>
              </w:rPr>
              <w:t xml:space="preserve"> as stomachic, rumen tonic, </w:t>
            </w:r>
            <w:r w:rsidR="00EC2B41">
              <w:rPr>
                <w:rFonts w:ascii="Tw Cen MT" w:eastAsia="Tw Cen MT" w:hAnsi="Tw Cen MT" w:cs="Tw Cen MT"/>
                <w:b w:val="0"/>
                <w:bCs/>
                <w:sz w:val="18"/>
                <w:szCs w:val="18"/>
              </w:rPr>
              <w:t>digestive stimulant and milk fat enhancer.</w:t>
            </w:r>
          </w:p>
          <w:p w:rsidR="00EC2B41" w:rsidRDefault="00EC2B41" w:rsidP="00EC2B41">
            <w:pPr>
              <w:spacing w:before="62"/>
              <w:ind w:left="1428" w:right="1579"/>
              <w:jc w:val="center"/>
              <w:cnfStyle w:val="100000000000" w:firstRow="1" w:lastRow="0" w:firstColumn="0" w:lastColumn="0" w:oddVBand="0" w:evenVBand="0" w:oddHBand="0" w:evenHBand="0" w:firstRowFirstColumn="0" w:firstRowLastColumn="0" w:lastRowFirstColumn="0" w:lastRowLastColumn="0"/>
              <w:rPr>
                <w:rFonts w:ascii="Arial"/>
                <w:sz w:val="14"/>
              </w:rPr>
            </w:pPr>
            <w:r>
              <w:rPr>
                <w:rFonts w:ascii="Arial"/>
                <w:sz w:val="14"/>
              </w:rPr>
              <w:t xml:space="preserve">Email: </w:t>
            </w:r>
            <w:hyperlink r:id="rId7" w:history="1">
              <w:r w:rsidRPr="008A05C4">
                <w:rPr>
                  <w:rStyle w:val="Hyperlink"/>
                  <w:rFonts w:ascii="Arial"/>
                  <w:sz w:val="14"/>
                </w:rPr>
                <w:t>drsaber7@cu.edu.eg</w:t>
              </w:r>
            </w:hyperlink>
          </w:p>
          <w:p w:rsidR="00EC2B41" w:rsidRDefault="00EC2B41" w:rsidP="00EC2B41">
            <w:pPr>
              <w:pStyle w:val="Heading3"/>
              <w:spacing w:line="218" w:lineRule="exact"/>
              <w:jc w:val="both"/>
              <w:outlineLvl w:val="2"/>
              <w:cnfStyle w:val="100000000000" w:firstRow="1" w:lastRow="0" w:firstColumn="0" w:lastColumn="0" w:oddVBand="0" w:evenVBand="0" w:oddHBand="0" w:evenHBand="0" w:firstRowFirstColumn="0" w:firstRowLastColumn="0" w:lastRowFirstColumn="0" w:lastRowLastColumn="0"/>
              <w:rPr>
                <w:rFonts w:ascii="Tw Cen MT" w:eastAsia="Tw Cen MT" w:hAnsi="Tw Cen MT" w:cs="Tw Cen MT"/>
                <w:b/>
                <w:bCs w:val="0"/>
                <w:sz w:val="18"/>
                <w:szCs w:val="18"/>
              </w:rPr>
            </w:pPr>
            <w:r w:rsidRPr="00EC2B41">
              <w:rPr>
                <w:b/>
                <w:color w:val="BF5A14"/>
              </w:rPr>
              <w:t>Recent publications</w:t>
            </w:r>
          </w:p>
          <w:p w:rsidR="00FB5862" w:rsidRPr="00B35B60" w:rsidRDefault="00FB5862" w:rsidP="00FB5862">
            <w:pPr>
              <w:pStyle w:val="Heading3"/>
              <w:numPr>
                <w:ilvl w:val="0"/>
                <w:numId w:val="1"/>
              </w:numPr>
              <w:spacing w:line="218" w:lineRule="exact"/>
              <w:jc w:val="both"/>
              <w:cnfStyle w:val="100000000000" w:firstRow="1" w:lastRow="0" w:firstColumn="0" w:lastColumn="0" w:oddVBand="0" w:evenVBand="0" w:oddHBand="0" w:evenHBand="0" w:firstRowFirstColumn="0" w:firstRowLastColumn="0" w:lastRowFirstColumn="0" w:lastRowLastColumn="0"/>
              <w:rPr>
                <w:rFonts w:ascii="Tw Cen MT" w:eastAsia="Tw Cen MT" w:hAnsi="Tw Cen MT" w:cs="Tw Cen MT"/>
                <w:sz w:val="18"/>
                <w:szCs w:val="18"/>
              </w:rPr>
            </w:pPr>
            <w:bookmarkStart w:id="1" w:name="_ENREF_87"/>
            <w:bookmarkStart w:id="2" w:name="_ENREF_57"/>
            <w:r w:rsidRPr="00B35B60">
              <w:rPr>
                <w:rFonts w:ascii="Tw Cen MT" w:eastAsia="Tw Cen MT" w:hAnsi="Tw Cen MT" w:cs="Tw Cen MT"/>
                <w:sz w:val="18"/>
                <w:szCs w:val="18"/>
              </w:rPr>
              <w:t>Saber, M.;</w:t>
            </w:r>
            <w:r>
              <w:rPr>
                <w:rFonts w:ascii="Tw Cen MT" w:eastAsia="Tw Cen MT" w:hAnsi="Tw Cen MT" w:cs="Tw Cen MT"/>
                <w:sz w:val="18"/>
                <w:szCs w:val="18"/>
              </w:rPr>
              <w:t xml:space="preserve"> Baraka, T. A. and Tayeb, F. M. (</w:t>
            </w:r>
            <w:r w:rsidRPr="00B35B60">
              <w:rPr>
                <w:rFonts w:ascii="Tw Cen MT" w:eastAsia="Tw Cen MT" w:hAnsi="Tw Cen MT" w:cs="Tw Cen MT"/>
                <w:sz w:val="18"/>
                <w:szCs w:val="18"/>
              </w:rPr>
              <w:t>2016</w:t>
            </w:r>
            <w:r>
              <w:rPr>
                <w:rFonts w:ascii="Tw Cen MT" w:eastAsia="Tw Cen MT" w:hAnsi="Tw Cen MT" w:cs="Tw Cen MT"/>
                <w:sz w:val="18"/>
                <w:szCs w:val="18"/>
              </w:rPr>
              <w:t>)</w:t>
            </w:r>
            <w:r w:rsidRPr="00B35B60">
              <w:rPr>
                <w:rFonts w:ascii="Tw Cen MT" w:eastAsia="Tw Cen MT" w:hAnsi="Tw Cen MT" w:cs="Tw Cen MT"/>
                <w:sz w:val="18"/>
                <w:szCs w:val="18"/>
              </w:rPr>
              <w:t>. Seasonal rumen fermentation pattern of Egyptian sheep in health and field digestive disorders. Veterinary Medical Journal Giza (VMJG), 62(4): 31-43.</w:t>
            </w:r>
          </w:p>
          <w:p w:rsidR="00FB5862" w:rsidRDefault="00FB5862" w:rsidP="00FB5862">
            <w:pPr>
              <w:pStyle w:val="Heading3"/>
              <w:numPr>
                <w:ilvl w:val="0"/>
                <w:numId w:val="1"/>
              </w:numPr>
              <w:spacing w:line="218" w:lineRule="exact"/>
              <w:jc w:val="both"/>
              <w:outlineLvl w:val="2"/>
              <w:cnfStyle w:val="100000000000" w:firstRow="1" w:lastRow="0" w:firstColumn="0" w:lastColumn="0" w:oddVBand="0" w:evenVBand="0" w:oddHBand="0" w:evenHBand="0" w:firstRowFirstColumn="0" w:firstRowLastColumn="0" w:lastRowFirstColumn="0" w:lastRowLastColumn="0"/>
              <w:rPr>
                <w:rFonts w:ascii="Tw Cen MT" w:eastAsia="Tw Cen MT" w:hAnsi="Tw Cen MT" w:cs="Tw Cen MT"/>
                <w:sz w:val="18"/>
                <w:szCs w:val="18"/>
              </w:rPr>
            </w:pPr>
            <w:r w:rsidRPr="00B35B60">
              <w:rPr>
                <w:rFonts w:ascii="Tw Cen MT" w:eastAsia="Tw Cen MT" w:hAnsi="Tw Cen MT" w:cs="Tw Cen MT"/>
                <w:sz w:val="18"/>
                <w:szCs w:val="18"/>
              </w:rPr>
              <w:t>Saber, M. (2016). Effect of Field and Experimentally-Induced Cases of Frothy Bloat on Physical Examination, Rumen Fermentation Pattern and Blood Constituents in Baladi Egyptian Sheep. Int. J. Livest. Res., 6(10):46-63.</w:t>
            </w:r>
          </w:p>
          <w:p w:rsidR="00FB5862" w:rsidRPr="00AB716E" w:rsidRDefault="00FB5862" w:rsidP="00FB5862">
            <w:pPr>
              <w:pStyle w:val="Heading3"/>
              <w:numPr>
                <w:ilvl w:val="0"/>
                <w:numId w:val="1"/>
              </w:numPr>
              <w:spacing w:line="218" w:lineRule="exact"/>
              <w:jc w:val="both"/>
              <w:outlineLvl w:val="2"/>
              <w:cnfStyle w:val="100000000000" w:firstRow="1" w:lastRow="0" w:firstColumn="0" w:lastColumn="0" w:oddVBand="0" w:evenVBand="0" w:oddHBand="0" w:evenHBand="0" w:firstRowFirstColumn="0" w:firstRowLastColumn="0" w:lastRowFirstColumn="0" w:lastRowLastColumn="0"/>
              <w:rPr>
                <w:rFonts w:ascii="Tw Cen MT" w:eastAsia="Tw Cen MT" w:hAnsi="Tw Cen MT" w:cs="Tw Cen MT"/>
                <w:sz w:val="18"/>
                <w:szCs w:val="18"/>
              </w:rPr>
            </w:pPr>
            <w:r w:rsidRPr="00AB716E">
              <w:rPr>
                <w:rFonts w:ascii="Tw Cen MT" w:eastAsia="Tw Cen MT" w:hAnsi="Tw Cen MT" w:cs="Tw Cen MT"/>
                <w:sz w:val="18"/>
                <w:szCs w:val="18"/>
              </w:rPr>
              <w:t>Santos, V.; Ferreira, M.; Siqueira, M.; Melo, T.; Silva, J.; Andrade, I.; Soares, A. and Costa, C. (2015). Rumen Parameters of Sheep Fed Cassava Peel as a Replacement for Corn. Small Ruminant Research, 133: 88-92</w:t>
            </w:r>
          </w:p>
          <w:p w:rsidR="00FB5862" w:rsidRPr="00B35B60" w:rsidRDefault="00FB5862" w:rsidP="00FB5862">
            <w:pPr>
              <w:pStyle w:val="Heading3"/>
              <w:numPr>
                <w:ilvl w:val="0"/>
                <w:numId w:val="1"/>
              </w:numPr>
              <w:spacing w:line="218" w:lineRule="exact"/>
              <w:jc w:val="both"/>
              <w:outlineLvl w:val="2"/>
              <w:cnfStyle w:val="100000000000" w:firstRow="1" w:lastRow="0" w:firstColumn="0" w:lastColumn="0" w:oddVBand="0" w:evenVBand="0" w:oddHBand="0" w:evenHBand="0" w:firstRowFirstColumn="0" w:firstRowLastColumn="0" w:lastRowFirstColumn="0" w:lastRowLastColumn="0"/>
              <w:rPr>
                <w:rFonts w:ascii="Tw Cen MT" w:eastAsia="Tw Cen MT" w:hAnsi="Tw Cen MT" w:cs="Tw Cen MT"/>
                <w:sz w:val="18"/>
                <w:szCs w:val="18"/>
              </w:rPr>
            </w:pPr>
            <w:bookmarkStart w:id="3" w:name="_ENREF_10"/>
            <w:r w:rsidRPr="00B35B60">
              <w:rPr>
                <w:rFonts w:ascii="Tw Cen MT" w:eastAsia="Tw Cen MT" w:hAnsi="Tw Cen MT" w:cs="Tw Cen MT"/>
                <w:sz w:val="18"/>
                <w:szCs w:val="18"/>
              </w:rPr>
              <w:t>Baraka, T.A. (2012). Comparative Studies of Rumen Ph, Total Protozoa Count, Generic and Species Composition of Ciliates in Camel, Buffalo, Cattle, Sheep and Goat in Egypt. The Journal of American Science, 8(2):655-669.</w:t>
            </w:r>
            <w:bookmarkEnd w:id="3"/>
          </w:p>
          <w:p w:rsidR="00FB5862" w:rsidRDefault="00FB5862" w:rsidP="00FB5862">
            <w:pPr>
              <w:pStyle w:val="Heading3"/>
              <w:numPr>
                <w:ilvl w:val="0"/>
                <w:numId w:val="1"/>
              </w:numPr>
              <w:spacing w:line="218" w:lineRule="exact"/>
              <w:jc w:val="both"/>
              <w:outlineLvl w:val="2"/>
              <w:cnfStyle w:val="100000000000" w:firstRow="1" w:lastRow="0" w:firstColumn="0" w:lastColumn="0" w:oddVBand="0" w:evenVBand="0" w:oddHBand="0" w:evenHBand="0" w:firstRowFirstColumn="0" w:firstRowLastColumn="0" w:lastRowFirstColumn="0" w:lastRowLastColumn="0"/>
              <w:rPr>
                <w:rFonts w:ascii="Tw Cen MT" w:eastAsia="Tw Cen MT" w:hAnsi="Tw Cen MT" w:cs="Tw Cen MT"/>
                <w:b/>
                <w:bCs w:val="0"/>
                <w:sz w:val="18"/>
                <w:szCs w:val="18"/>
              </w:rPr>
            </w:pPr>
            <w:r w:rsidRPr="00AB716E">
              <w:rPr>
                <w:rFonts w:ascii="Tw Cen MT" w:eastAsia="Tw Cen MT" w:hAnsi="Tw Cen MT" w:cs="Tw Cen MT"/>
                <w:sz w:val="18"/>
                <w:szCs w:val="18"/>
              </w:rPr>
              <w:t>Wang, C.; Wang, S.; Zhou, H. and Glindemann, T. (2007). Effects of Forage Composition and Growing Season on Methane Emission from Sheep in the Inner Mongolia Steppe of China. Ecological Research, 22(1):41-48.</w:t>
            </w:r>
          </w:p>
          <w:p w:rsidR="00AB716E" w:rsidRPr="00FB5862" w:rsidRDefault="00AB716E" w:rsidP="00FB5862">
            <w:pPr>
              <w:pStyle w:val="Heading3"/>
              <w:numPr>
                <w:ilvl w:val="0"/>
                <w:numId w:val="1"/>
              </w:numPr>
              <w:spacing w:line="218" w:lineRule="exact"/>
              <w:jc w:val="both"/>
              <w:cnfStyle w:val="100000000000" w:firstRow="1" w:lastRow="0" w:firstColumn="0" w:lastColumn="0" w:oddVBand="0" w:evenVBand="0" w:oddHBand="0" w:evenHBand="0" w:firstRowFirstColumn="0" w:firstRowLastColumn="0" w:lastRowFirstColumn="0" w:lastRowLastColumn="0"/>
              <w:rPr>
                <w:rFonts w:ascii="Tw Cen MT" w:eastAsia="Tw Cen MT" w:hAnsi="Tw Cen MT" w:cs="Tw Cen MT"/>
                <w:sz w:val="18"/>
                <w:szCs w:val="18"/>
              </w:rPr>
            </w:pPr>
            <w:r w:rsidRPr="00AB716E">
              <w:rPr>
                <w:rFonts w:ascii="Tw Cen MT" w:eastAsia="Tw Cen MT" w:hAnsi="Tw Cen MT" w:cs="Tw Cen MT"/>
                <w:sz w:val="18"/>
                <w:szCs w:val="18"/>
              </w:rPr>
              <w:t>Maas, J.; Wilson, G.; Mccutcheon, S.; Lynch, G.; Burnham, D. and France, J. (2001). The Effect of Season and Monensin Sodium on the Digestive Characteristics of Autumn and Spring Pasture Fed to Sheep. Journal of Animal Science, 79(4):1052-1058.</w:t>
            </w:r>
            <w:bookmarkEnd w:id="1"/>
            <w:bookmarkEnd w:id="2"/>
          </w:p>
        </w:tc>
      </w:tr>
    </w:tbl>
    <w:p w:rsidR="00F83060" w:rsidRPr="00CF2D52" w:rsidRDefault="00F83060" w:rsidP="00101B03">
      <w:pPr>
        <w:pStyle w:val="BodyText"/>
        <w:spacing w:before="53" w:line="264" w:lineRule="auto"/>
        <w:jc w:val="both"/>
      </w:pPr>
    </w:p>
    <w:sectPr w:rsidR="00F83060" w:rsidRPr="00CF2D52" w:rsidSect="00654559">
      <w:pgSz w:w="12240" w:h="15840"/>
      <w:pgMar w:top="1440" w:right="616"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B687B"/>
    <w:multiLevelType w:val="hybridMultilevel"/>
    <w:tmpl w:val="AE2EAB62"/>
    <w:lvl w:ilvl="0" w:tplc="494C7390">
      <w:start w:val="1"/>
      <w:numFmt w:val="decimal"/>
      <w:lvlText w:val="%1."/>
      <w:lvlJc w:val="left"/>
      <w:pPr>
        <w:ind w:left="820" w:hanging="360"/>
      </w:pPr>
      <w:rPr>
        <w:b w:val="0"/>
        <w:bCs/>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48B763D3"/>
    <w:multiLevelType w:val="hybridMultilevel"/>
    <w:tmpl w:val="6BFAD8F6"/>
    <w:lvl w:ilvl="0" w:tplc="027A738E">
      <w:start w:val="1"/>
      <w:numFmt w:val="decimal"/>
      <w:lvlText w:val="%1."/>
      <w:lvlJc w:val="left"/>
      <w:pPr>
        <w:ind w:left="1080" w:hanging="72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FB6"/>
    <w:rsid w:val="0000380C"/>
    <w:rsid w:val="000113CC"/>
    <w:rsid w:val="0001151F"/>
    <w:rsid w:val="00020A95"/>
    <w:rsid w:val="00021FCA"/>
    <w:rsid w:val="00022A2C"/>
    <w:rsid w:val="000238F2"/>
    <w:rsid w:val="000274B6"/>
    <w:rsid w:val="00035C64"/>
    <w:rsid w:val="000415B5"/>
    <w:rsid w:val="000577EE"/>
    <w:rsid w:val="00061BC6"/>
    <w:rsid w:val="00074DD2"/>
    <w:rsid w:val="0007757C"/>
    <w:rsid w:val="00080EE7"/>
    <w:rsid w:val="00081559"/>
    <w:rsid w:val="000815DD"/>
    <w:rsid w:val="0008356F"/>
    <w:rsid w:val="000839BE"/>
    <w:rsid w:val="0009287B"/>
    <w:rsid w:val="000A3FDD"/>
    <w:rsid w:val="000A515E"/>
    <w:rsid w:val="000A6194"/>
    <w:rsid w:val="000B26E6"/>
    <w:rsid w:val="000B2AA7"/>
    <w:rsid w:val="000B788D"/>
    <w:rsid w:val="000C1409"/>
    <w:rsid w:val="000C4BFC"/>
    <w:rsid w:val="000D17AF"/>
    <w:rsid w:val="000D1F48"/>
    <w:rsid w:val="000E0580"/>
    <w:rsid w:val="000E4FCD"/>
    <w:rsid w:val="000E681D"/>
    <w:rsid w:val="00101B03"/>
    <w:rsid w:val="00103CC6"/>
    <w:rsid w:val="00104E9A"/>
    <w:rsid w:val="00107345"/>
    <w:rsid w:val="00110A62"/>
    <w:rsid w:val="001114CB"/>
    <w:rsid w:val="0011318E"/>
    <w:rsid w:val="001200E2"/>
    <w:rsid w:val="00121528"/>
    <w:rsid w:val="00123C0F"/>
    <w:rsid w:val="00130695"/>
    <w:rsid w:val="00136C58"/>
    <w:rsid w:val="001445B8"/>
    <w:rsid w:val="001519C1"/>
    <w:rsid w:val="00155284"/>
    <w:rsid w:val="00166E02"/>
    <w:rsid w:val="00173942"/>
    <w:rsid w:val="00174CDF"/>
    <w:rsid w:val="001854CD"/>
    <w:rsid w:val="00190403"/>
    <w:rsid w:val="001A0E97"/>
    <w:rsid w:val="001A3CF9"/>
    <w:rsid w:val="001B13ED"/>
    <w:rsid w:val="001B31E2"/>
    <w:rsid w:val="001B717F"/>
    <w:rsid w:val="001C3F17"/>
    <w:rsid w:val="001C731A"/>
    <w:rsid w:val="001D11C3"/>
    <w:rsid w:val="001D5A02"/>
    <w:rsid w:val="001F096A"/>
    <w:rsid w:val="00200BAC"/>
    <w:rsid w:val="002100AA"/>
    <w:rsid w:val="00213300"/>
    <w:rsid w:val="00214EA7"/>
    <w:rsid w:val="002152E6"/>
    <w:rsid w:val="00225A10"/>
    <w:rsid w:val="0023080A"/>
    <w:rsid w:val="002365F5"/>
    <w:rsid w:val="002405C4"/>
    <w:rsid w:val="0024089D"/>
    <w:rsid w:val="00245442"/>
    <w:rsid w:val="00246549"/>
    <w:rsid w:val="00247288"/>
    <w:rsid w:val="00251CC3"/>
    <w:rsid w:val="002534F2"/>
    <w:rsid w:val="00253EDE"/>
    <w:rsid w:val="00257CC8"/>
    <w:rsid w:val="00267547"/>
    <w:rsid w:val="00270A99"/>
    <w:rsid w:val="00274D0E"/>
    <w:rsid w:val="00274D5D"/>
    <w:rsid w:val="00275A3A"/>
    <w:rsid w:val="00280B6C"/>
    <w:rsid w:val="00290B12"/>
    <w:rsid w:val="00294D3B"/>
    <w:rsid w:val="002963CB"/>
    <w:rsid w:val="00296A95"/>
    <w:rsid w:val="002A4F21"/>
    <w:rsid w:val="002B1ABA"/>
    <w:rsid w:val="002B5A37"/>
    <w:rsid w:val="002C41A8"/>
    <w:rsid w:val="002D259E"/>
    <w:rsid w:val="002E0E36"/>
    <w:rsid w:val="002E116A"/>
    <w:rsid w:val="002E12A2"/>
    <w:rsid w:val="002E16B3"/>
    <w:rsid w:val="002E5A9A"/>
    <w:rsid w:val="002F004A"/>
    <w:rsid w:val="002F2907"/>
    <w:rsid w:val="002F6870"/>
    <w:rsid w:val="00301253"/>
    <w:rsid w:val="00304973"/>
    <w:rsid w:val="00310181"/>
    <w:rsid w:val="00312DB7"/>
    <w:rsid w:val="00316916"/>
    <w:rsid w:val="00316D1D"/>
    <w:rsid w:val="0032309F"/>
    <w:rsid w:val="00326956"/>
    <w:rsid w:val="00330625"/>
    <w:rsid w:val="003338AE"/>
    <w:rsid w:val="00333E0A"/>
    <w:rsid w:val="00341271"/>
    <w:rsid w:val="00342F58"/>
    <w:rsid w:val="003471A0"/>
    <w:rsid w:val="00347BDB"/>
    <w:rsid w:val="0035358B"/>
    <w:rsid w:val="00355D3E"/>
    <w:rsid w:val="00367211"/>
    <w:rsid w:val="0037209F"/>
    <w:rsid w:val="00384FDB"/>
    <w:rsid w:val="00386151"/>
    <w:rsid w:val="00386404"/>
    <w:rsid w:val="00387D00"/>
    <w:rsid w:val="003960F6"/>
    <w:rsid w:val="003A32AE"/>
    <w:rsid w:val="003A7C2C"/>
    <w:rsid w:val="003C68DC"/>
    <w:rsid w:val="003C7094"/>
    <w:rsid w:val="003D20E5"/>
    <w:rsid w:val="003D2A0A"/>
    <w:rsid w:val="003E1E17"/>
    <w:rsid w:val="003F0517"/>
    <w:rsid w:val="003F17AC"/>
    <w:rsid w:val="003F407E"/>
    <w:rsid w:val="003F712F"/>
    <w:rsid w:val="00403F1C"/>
    <w:rsid w:val="00404E6E"/>
    <w:rsid w:val="004107EB"/>
    <w:rsid w:val="00411B3C"/>
    <w:rsid w:val="00411B7B"/>
    <w:rsid w:val="00411B7F"/>
    <w:rsid w:val="0042324B"/>
    <w:rsid w:val="0042668A"/>
    <w:rsid w:val="00434931"/>
    <w:rsid w:val="004349C5"/>
    <w:rsid w:val="004353E1"/>
    <w:rsid w:val="00443917"/>
    <w:rsid w:val="004447FA"/>
    <w:rsid w:val="00447862"/>
    <w:rsid w:val="00447CC6"/>
    <w:rsid w:val="00453D2F"/>
    <w:rsid w:val="0045471F"/>
    <w:rsid w:val="00457DA2"/>
    <w:rsid w:val="00465C7B"/>
    <w:rsid w:val="004805E5"/>
    <w:rsid w:val="0048350C"/>
    <w:rsid w:val="00495E48"/>
    <w:rsid w:val="004A0132"/>
    <w:rsid w:val="004A3A67"/>
    <w:rsid w:val="004A5094"/>
    <w:rsid w:val="004B332C"/>
    <w:rsid w:val="004B606B"/>
    <w:rsid w:val="004C1D04"/>
    <w:rsid w:val="00500FB6"/>
    <w:rsid w:val="00502A4E"/>
    <w:rsid w:val="00504767"/>
    <w:rsid w:val="0050622D"/>
    <w:rsid w:val="00506FD2"/>
    <w:rsid w:val="00513ADC"/>
    <w:rsid w:val="0051533B"/>
    <w:rsid w:val="00516656"/>
    <w:rsid w:val="00523D8F"/>
    <w:rsid w:val="0052569D"/>
    <w:rsid w:val="00526608"/>
    <w:rsid w:val="005321A3"/>
    <w:rsid w:val="005324A8"/>
    <w:rsid w:val="005373B0"/>
    <w:rsid w:val="005432FB"/>
    <w:rsid w:val="00544949"/>
    <w:rsid w:val="005519AD"/>
    <w:rsid w:val="005628F1"/>
    <w:rsid w:val="00565B90"/>
    <w:rsid w:val="00570EF7"/>
    <w:rsid w:val="005710C2"/>
    <w:rsid w:val="00573B78"/>
    <w:rsid w:val="0057554A"/>
    <w:rsid w:val="005773BA"/>
    <w:rsid w:val="00580644"/>
    <w:rsid w:val="00584A81"/>
    <w:rsid w:val="00590191"/>
    <w:rsid w:val="00593FC5"/>
    <w:rsid w:val="005964A1"/>
    <w:rsid w:val="005A332E"/>
    <w:rsid w:val="005A3EC6"/>
    <w:rsid w:val="005A583F"/>
    <w:rsid w:val="005A66CF"/>
    <w:rsid w:val="005B4FBA"/>
    <w:rsid w:val="005B5A15"/>
    <w:rsid w:val="005C14C2"/>
    <w:rsid w:val="005C4E3E"/>
    <w:rsid w:val="005C7C9D"/>
    <w:rsid w:val="005D0690"/>
    <w:rsid w:val="005D094B"/>
    <w:rsid w:val="005E41F5"/>
    <w:rsid w:val="005E4719"/>
    <w:rsid w:val="005E53D4"/>
    <w:rsid w:val="005E5442"/>
    <w:rsid w:val="005F4F45"/>
    <w:rsid w:val="005F57E9"/>
    <w:rsid w:val="0060189A"/>
    <w:rsid w:val="00601ABE"/>
    <w:rsid w:val="00606D09"/>
    <w:rsid w:val="0062131A"/>
    <w:rsid w:val="00622F38"/>
    <w:rsid w:val="00630F88"/>
    <w:rsid w:val="00635AD5"/>
    <w:rsid w:val="00640FF5"/>
    <w:rsid w:val="00642F0A"/>
    <w:rsid w:val="006448D2"/>
    <w:rsid w:val="006468EF"/>
    <w:rsid w:val="006472BD"/>
    <w:rsid w:val="006479D5"/>
    <w:rsid w:val="00654559"/>
    <w:rsid w:val="00655A99"/>
    <w:rsid w:val="00657C87"/>
    <w:rsid w:val="006641F3"/>
    <w:rsid w:val="006663F1"/>
    <w:rsid w:val="00671252"/>
    <w:rsid w:val="0067136A"/>
    <w:rsid w:val="0067185F"/>
    <w:rsid w:val="00672DE4"/>
    <w:rsid w:val="00683D9B"/>
    <w:rsid w:val="006942DC"/>
    <w:rsid w:val="00697AE1"/>
    <w:rsid w:val="006A4ED9"/>
    <w:rsid w:val="006A5F5B"/>
    <w:rsid w:val="006B0138"/>
    <w:rsid w:val="006C38A5"/>
    <w:rsid w:val="006D17D1"/>
    <w:rsid w:val="006E5D3F"/>
    <w:rsid w:val="006E67E7"/>
    <w:rsid w:val="006F355D"/>
    <w:rsid w:val="006F6A93"/>
    <w:rsid w:val="00702288"/>
    <w:rsid w:val="00703054"/>
    <w:rsid w:val="00703812"/>
    <w:rsid w:val="00707A51"/>
    <w:rsid w:val="00710D78"/>
    <w:rsid w:val="00712F5B"/>
    <w:rsid w:val="0071355F"/>
    <w:rsid w:val="00717BE1"/>
    <w:rsid w:val="00722EC6"/>
    <w:rsid w:val="007351D5"/>
    <w:rsid w:val="00743D01"/>
    <w:rsid w:val="00755541"/>
    <w:rsid w:val="00765463"/>
    <w:rsid w:val="00770597"/>
    <w:rsid w:val="00774C7A"/>
    <w:rsid w:val="00774D69"/>
    <w:rsid w:val="00781D02"/>
    <w:rsid w:val="00784BC5"/>
    <w:rsid w:val="00792A80"/>
    <w:rsid w:val="0079503A"/>
    <w:rsid w:val="007956E6"/>
    <w:rsid w:val="0079772D"/>
    <w:rsid w:val="007B1165"/>
    <w:rsid w:val="007B3305"/>
    <w:rsid w:val="007B491C"/>
    <w:rsid w:val="007B511B"/>
    <w:rsid w:val="007B5377"/>
    <w:rsid w:val="007C6890"/>
    <w:rsid w:val="007D1883"/>
    <w:rsid w:val="007E6320"/>
    <w:rsid w:val="007F31DF"/>
    <w:rsid w:val="007F349B"/>
    <w:rsid w:val="007F66C7"/>
    <w:rsid w:val="00807609"/>
    <w:rsid w:val="00813053"/>
    <w:rsid w:val="0081316D"/>
    <w:rsid w:val="00817396"/>
    <w:rsid w:val="00830910"/>
    <w:rsid w:val="00831867"/>
    <w:rsid w:val="008320A2"/>
    <w:rsid w:val="008359AC"/>
    <w:rsid w:val="00841540"/>
    <w:rsid w:val="00842571"/>
    <w:rsid w:val="00864600"/>
    <w:rsid w:val="008758C4"/>
    <w:rsid w:val="00875BDD"/>
    <w:rsid w:val="00876C3E"/>
    <w:rsid w:val="00893B1A"/>
    <w:rsid w:val="0089547B"/>
    <w:rsid w:val="008A0B59"/>
    <w:rsid w:val="008A3770"/>
    <w:rsid w:val="008A3DD5"/>
    <w:rsid w:val="008B5CA5"/>
    <w:rsid w:val="008C08D1"/>
    <w:rsid w:val="008C160A"/>
    <w:rsid w:val="008C2A48"/>
    <w:rsid w:val="008C2B9C"/>
    <w:rsid w:val="008C56F9"/>
    <w:rsid w:val="008C6131"/>
    <w:rsid w:val="008D4F6F"/>
    <w:rsid w:val="008E78F0"/>
    <w:rsid w:val="008F0307"/>
    <w:rsid w:val="008F3E54"/>
    <w:rsid w:val="008F5178"/>
    <w:rsid w:val="0090048C"/>
    <w:rsid w:val="0090468D"/>
    <w:rsid w:val="00905A46"/>
    <w:rsid w:val="009230DB"/>
    <w:rsid w:val="00930D15"/>
    <w:rsid w:val="009351F9"/>
    <w:rsid w:val="00942BD8"/>
    <w:rsid w:val="009431A0"/>
    <w:rsid w:val="009441F6"/>
    <w:rsid w:val="00945CD6"/>
    <w:rsid w:val="00947F2B"/>
    <w:rsid w:val="009605A8"/>
    <w:rsid w:val="0096290C"/>
    <w:rsid w:val="00962B79"/>
    <w:rsid w:val="00965551"/>
    <w:rsid w:val="009666D9"/>
    <w:rsid w:val="009801BE"/>
    <w:rsid w:val="00980A03"/>
    <w:rsid w:val="00980C4A"/>
    <w:rsid w:val="00980DAA"/>
    <w:rsid w:val="009837D2"/>
    <w:rsid w:val="00985778"/>
    <w:rsid w:val="009906C4"/>
    <w:rsid w:val="00990A98"/>
    <w:rsid w:val="00992717"/>
    <w:rsid w:val="00996718"/>
    <w:rsid w:val="00996754"/>
    <w:rsid w:val="009B2D9F"/>
    <w:rsid w:val="009B60E6"/>
    <w:rsid w:val="009B6438"/>
    <w:rsid w:val="009C0AF6"/>
    <w:rsid w:val="009C26C1"/>
    <w:rsid w:val="009C49DD"/>
    <w:rsid w:val="009D4B50"/>
    <w:rsid w:val="009E1E3E"/>
    <w:rsid w:val="009E32FE"/>
    <w:rsid w:val="009E5E76"/>
    <w:rsid w:val="009E6059"/>
    <w:rsid w:val="009F084F"/>
    <w:rsid w:val="009F7F14"/>
    <w:rsid w:val="00A01472"/>
    <w:rsid w:val="00A07BFB"/>
    <w:rsid w:val="00A14225"/>
    <w:rsid w:val="00A1577C"/>
    <w:rsid w:val="00A17CEC"/>
    <w:rsid w:val="00A27687"/>
    <w:rsid w:val="00A27E19"/>
    <w:rsid w:val="00A32199"/>
    <w:rsid w:val="00A32FC6"/>
    <w:rsid w:val="00A44A20"/>
    <w:rsid w:val="00A45974"/>
    <w:rsid w:val="00A45EA6"/>
    <w:rsid w:val="00A47931"/>
    <w:rsid w:val="00A60217"/>
    <w:rsid w:val="00A62460"/>
    <w:rsid w:val="00A660C4"/>
    <w:rsid w:val="00A7184A"/>
    <w:rsid w:val="00A73FC8"/>
    <w:rsid w:val="00A810A9"/>
    <w:rsid w:val="00A810CA"/>
    <w:rsid w:val="00A81820"/>
    <w:rsid w:val="00A86262"/>
    <w:rsid w:val="00A86263"/>
    <w:rsid w:val="00A95128"/>
    <w:rsid w:val="00A959DE"/>
    <w:rsid w:val="00A9795B"/>
    <w:rsid w:val="00AA0E0B"/>
    <w:rsid w:val="00AA1F1C"/>
    <w:rsid w:val="00AA5BB9"/>
    <w:rsid w:val="00AB51B4"/>
    <w:rsid w:val="00AB599C"/>
    <w:rsid w:val="00AB716E"/>
    <w:rsid w:val="00AC2A61"/>
    <w:rsid w:val="00AC6094"/>
    <w:rsid w:val="00AC7536"/>
    <w:rsid w:val="00AD1B4E"/>
    <w:rsid w:val="00AD4760"/>
    <w:rsid w:val="00AF4FA3"/>
    <w:rsid w:val="00B00D24"/>
    <w:rsid w:val="00B10C61"/>
    <w:rsid w:val="00B1560E"/>
    <w:rsid w:val="00B209E1"/>
    <w:rsid w:val="00B30410"/>
    <w:rsid w:val="00B34D2E"/>
    <w:rsid w:val="00B35B60"/>
    <w:rsid w:val="00B477CE"/>
    <w:rsid w:val="00B6025B"/>
    <w:rsid w:val="00B608ED"/>
    <w:rsid w:val="00B6433C"/>
    <w:rsid w:val="00B65FD8"/>
    <w:rsid w:val="00B7045C"/>
    <w:rsid w:val="00B71F61"/>
    <w:rsid w:val="00B814BB"/>
    <w:rsid w:val="00B87B1B"/>
    <w:rsid w:val="00B90C6B"/>
    <w:rsid w:val="00B946F0"/>
    <w:rsid w:val="00B97D86"/>
    <w:rsid w:val="00BA100F"/>
    <w:rsid w:val="00BA1E8F"/>
    <w:rsid w:val="00BA5432"/>
    <w:rsid w:val="00BA6252"/>
    <w:rsid w:val="00BC686D"/>
    <w:rsid w:val="00BD13C7"/>
    <w:rsid w:val="00BD173B"/>
    <w:rsid w:val="00BD4D84"/>
    <w:rsid w:val="00BD6097"/>
    <w:rsid w:val="00BD7ACB"/>
    <w:rsid w:val="00BE23C6"/>
    <w:rsid w:val="00BE6E5A"/>
    <w:rsid w:val="00BF5D9B"/>
    <w:rsid w:val="00C0185D"/>
    <w:rsid w:val="00C01F8F"/>
    <w:rsid w:val="00C06D84"/>
    <w:rsid w:val="00C1588E"/>
    <w:rsid w:val="00C20E20"/>
    <w:rsid w:val="00C26ABA"/>
    <w:rsid w:val="00C32BFE"/>
    <w:rsid w:val="00C34A6F"/>
    <w:rsid w:val="00C52CD8"/>
    <w:rsid w:val="00C54BBD"/>
    <w:rsid w:val="00C55CB8"/>
    <w:rsid w:val="00C57FE4"/>
    <w:rsid w:val="00C60860"/>
    <w:rsid w:val="00C616FD"/>
    <w:rsid w:val="00C6170B"/>
    <w:rsid w:val="00C63D1B"/>
    <w:rsid w:val="00C66893"/>
    <w:rsid w:val="00C75CC0"/>
    <w:rsid w:val="00C778DB"/>
    <w:rsid w:val="00C8340D"/>
    <w:rsid w:val="00C84F7E"/>
    <w:rsid w:val="00C86471"/>
    <w:rsid w:val="00C87326"/>
    <w:rsid w:val="00CB4029"/>
    <w:rsid w:val="00CD0481"/>
    <w:rsid w:val="00CD062A"/>
    <w:rsid w:val="00CD092E"/>
    <w:rsid w:val="00CD6333"/>
    <w:rsid w:val="00CE08F5"/>
    <w:rsid w:val="00CE21D6"/>
    <w:rsid w:val="00CE323B"/>
    <w:rsid w:val="00CE5013"/>
    <w:rsid w:val="00CE6719"/>
    <w:rsid w:val="00CE6AC0"/>
    <w:rsid w:val="00CE7293"/>
    <w:rsid w:val="00CF1921"/>
    <w:rsid w:val="00CF1DE2"/>
    <w:rsid w:val="00CF2D52"/>
    <w:rsid w:val="00D07408"/>
    <w:rsid w:val="00D07D3E"/>
    <w:rsid w:val="00D154A8"/>
    <w:rsid w:val="00D17639"/>
    <w:rsid w:val="00D2224C"/>
    <w:rsid w:val="00D22FDE"/>
    <w:rsid w:val="00D23DD9"/>
    <w:rsid w:val="00D31E16"/>
    <w:rsid w:val="00D32496"/>
    <w:rsid w:val="00D3480A"/>
    <w:rsid w:val="00D34940"/>
    <w:rsid w:val="00D35C16"/>
    <w:rsid w:val="00D40F5F"/>
    <w:rsid w:val="00D420B1"/>
    <w:rsid w:val="00D4550E"/>
    <w:rsid w:val="00D50A4C"/>
    <w:rsid w:val="00D6137B"/>
    <w:rsid w:val="00D63936"/>
    <w:rsid w:val="00D66321"/>
    <w:rsid w:val="00D74421"/>
    <w:rsid w:val="00D82AD6"/>
    <w:rsid w:val="00D92B75"/>
    <w:rsid w:val="00D95811"/>
    <w:rsid w:val="00D9585D"/>
    <w:rsid w:val="00DB374F"/>
    <w:rsid w:val="00DC1160"/>
    <w:rsid w:val="00DC7275"/>
    <w:rsid w:val="00DD2D63"/>
    <w:rsid w:val="00DD2FB9"/>
    <w:rsid w:val="00DE1AE5"/>
    <w:rsid w:val="00DE2290"/>
    <w:rsid w:val="00DE2FE9"/>
    <w:rsid w:val="00DE5B6E"/>
    <w:rsid w:val="00DF0109"/>
    <w:rsid w:val="00DF7DED"/>
    <w:rsid w:val="00E05529"/>
    <w:rsid w:val="00E229B9"/>
    <w:rsid w:val="00E332F6"/>
    <w:rsid w:val="00E335A5"/>
    <w:rsid w:val="00E3558E"/>
    <w:rsid w:val="00E41B11"/>
    <w:rsid w:val="00E43B0E"/>
    <w:rsid w:val="00E456B3"/>
    <w:rsid w:val="00E5082F"/>
    <w:rsid w:val="00E55CF1"/>
    <w:rsid w:val="00E8158D"/>
    <w:rsid w:val="00E842AA"/>
    <w:rsid w:val="00E85E81"/>
    <w:rsid w:val="00E90887"/>
    <w:rsid w:val="00E95688"/>
    <w:rsid w:val="00E97BAA"/>
    <w:rsid w:val="00EA0736"/>
    <w:rsid w:val="00EA567A"/>
    <w:rsid w:val="00EA6D85"/>
    <w:rsid w:val="00EC2B41"/>
    <w:rsid w:val="00ED3AA6"/>
    <w:rsid w:val="00EE0909"/>
    <w:rsid w:val="00EE6BF8"/>
    <w:rsid w:val="00EF1133"/>
    <w:rsid w:val="00EF6006"/>
    <w:rsid w:val="00EF7BD8"/>
    <w:rsid w:val="00F02080"/>
    <w:rsid w:val="00F02D03"/>
    <w:rsid w:val="00F10EC7"/>
    <w:rsid w:val="00F268A3"/>
    <w:rsid w:val="00F270A5"/>
    <w:rsid w:val="00F31B8E"/>
    <w:rsid w:val="00F31D10"/>
    <w:rsid w:val="00F37C7F"/>
    <w:rsid w:val="00F37E20"/>
    <w:rsid w:val="00F41382"/>
    <w:rsid w:val="00F45D1E"/>
    <w:rsid w:val="00F61304"/>
    <w:rsid w:val="00F61E80"/>
    <w:rsid w:val="00F71CD8"/>
    <w:rsid w:val="00F72448"/>
    <w:rsid w:val="00F72657"/>
    <w:rsid w:val="00F75D87"/>
    <w:rsid w:val="00F77F47"/>
    <w:rsid w:val="00F83060"/>
    <w:rsid w:val="00F9240D"/>
    <w:rsid w:val="00F943A8"/>
    <w:rsid w:val="00F958BC"/>
    <w:rsid w:val="00F96F39"/>
    <w:rsid w:val="00FA0EE0"/>
    <w:rsid w:val="00FA4EB0"/>
    <w:rsid w:val="00FB0077"/>
    <w:rsid w:val="00FB0D4F"/>
    <w:rsid w:val="00FB262B"/>
    <w:rsid w:val="00FB2CFD"/>
    <w:rsid w:val="00FB3D6E"/>
    <w:rsid w:val="00FB5862"/>
    <w:rsid w:val="00FC087D"/>
    <w:rsid w:val="00FC2027"/>
    <w:rsid w:val="00FD3DA6"/>
    <w:rsid w:val="00FE0457"/>
    <w:rsid w:val="00FE4E7D"/>
    <w:rsid w:val="00FE5EFD"/>
    <w:rsid w:val="00FF0F4F"/>
    <w:rsid w:val="00FF3D3E"/>
    <w:rsid w:val="00FF7C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C21EE"/>
  <w15:chartTrackingRefBased/>
  <w15:docId w15:val="{7599C44F-E118-40BD-B693-88EEEE31D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16656"/>
    <w:pPr>
      <w:spacing w:after="200"/>
      <w:ind w:left="284"/>
    </w:pPr>
  </w:style>
  <w:style w:type="paragraph" w:styleId="Heading1">
    <w:name w:val="heading 1"/>
    <w:basedOn w:val="Normal"/>
    <w:next w:val="Normal"/>
    <w:link w:val="Heading1Char"/>
    <w:uiPriority w:val="9"/>
    <w:qFormat/>
    <w:rsid w:val="00B35B6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1"/>
    <w:qFormat/>
    <w:rsid w:val="00CF2D52"/>
    <w:pPr>
      <w:widowControl w:val="0"/>
      <w:spacing w:after="0" w:line="240" w:lineRule="auto"/>
      <w:ind w:left="100"/>
      <w:jc w:val="left"/>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D35C16"/>
    <w:pPr>
      <w:spacing w:line="240" w:lineRule="auto"/>
    </w:pPr>
    <w:rPr>
      <w:rFonts w:asciiTheme="majorBidi" w:hAnsiTheme="majorBidi"/>
      <w:sz w:val="24"/>
    </w:rPr>
    <w:tblPr>
      <w:jc w:val="center"/>
      <w:tblBorders>
        <w:top w:val="single" w:sz="8" w:space="0" w:color="auto"/>
        <w:bottom w:val="single" w:sz="8" w:space="0" w:color="auto"/>
      </w:tblBorders>
    </w:tblPr>
    <w:trPr>
      <w:jc w:val="center"/>
    </w:trPr>
    <w:tblStylePr w:type="firstRow">
      <w:pPr>
        <w:jc w:val="left"/>
      </w:pPr>
      <w:rPr>
        <w:rFonts w:asciiTheme="majorBidi" w:hAnsiTheme="majorBidi"/>
        <w:b/>
        <w:sz w:val="24"/>
      </w:rPr>
      <w:tblPr/>
      <w:tcPr>
        <w:tcBorders>
          <w:top w:val="single" w:sz="6" w:space="0" w:color="auto"/>
          <w:left w:val="nil"/>
          <w:bottom w:val="single" w:sz="6" w:space="0" w:color="auto"/>
          <w:right w:val="nil"/>
          <w:insideH w:val="single" w:sz="6" w:space="0" w:color="auto"/>
          <w:insideV w:val="nil"/>
        </w:tcBorders>
      </w:tcPr>
    </w:tblStylePr>
    <w:tblStylePr w:type="firstCol">
      <w:rPr>
        <w:rFonts w:asciiTheme="majorBidi" w:hAnsiTheme="majorBidi"/>
        <w:b/>
        <w:sz w:val="24"/>
      </w:rPr>
    </w:tblStylePr>
  </w:style>
  <w:style w:type="character" w:customStyle="1" w:styleId="Heading3Char">
    <w:name w:val="Heading 3 Char"/>
    <w:basedOn w:val="DefaultParagraphFont"/>
    <w:link w:val="Heading3"/>
    <w:uiPriority w:val="1"/>
    <w:rsid w:val="00CF2D52"/>
    <w:rPr>
      <w:rFonts w:ascii="Arial" w:eastAsia="Arial" w:hAnsi="Arial" w:cs="Arial"/>
      <w:b/>
      <w:bCs/>
      <w:sz w:val="20"/>
      <w:szCs w:val="20"/>
    </w:rPr>
  </w:style>
  <w:style w:type="paragraph" w:styleId="BodyText">
    <w:name w:val="Body Text"/>
    <w:basedOn w:val="Normal"/>
    <w:link w:val="BodyTextChar"/>
    <w:uiPriority w:val="1"/>
    <w:qFormat/>
    <w:rsid w:val="00CF2D52"/>
    <w:pPr>
      <w:widowControl w:val="0"/>
      <w:spacing w:after="0" w:line="240" w:lineRule="auto"/>
      <w:ind w:left="0"/>
      <w:jc w:val="left"/>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F2D52"/>
    <w:rPr>
      <w:rFonts w:ascii="Tw Cen MT" w:eastAsia="Tw Cen MT" w:hAnsi="Tw Cen MT" w:cs="Tw Cen MT"/>
      <w:sz w:val="18"/>
      <w:szCs w:val="18"/>
    </w:rPr>
  </w:style>
  <w:style w:type="table" w:styleId="TableGrid">
    <w:name w:val="Table Grid"/>
    <w:basedOn w:val="TableNormal"/>
    <w:uiPriority w:val="59"/>
    <w:rsid w:val="004349C5"/>
    <w:pPr>
      <w:spacing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2B41"/>
    <w:rPr>
      <w:color w:val="0000FF" w:themeColor="hyperlink"/>
      <w:u w:val="single"/>
    </w:rPr>
  </w:style>
  <w:style w:type="character" w:customStyle="1" w:styleId="Heading1Char">
    <w:name w:val="Heading 1 Char"/>
    <w:basedOn w:val="DefaultParagraphFont"/>
    <w:link w:val="Heading1"/>
    <w:uiPriority w:val="9"/>
    <w:rsid w:val="00B35B6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saber7@cu.edu.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911</TotalTime>
  <Pages>1</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Saber, M.</dc:creator>
  <cp:keywords/>
  <dc:description/>
  <cp:lastModifiedBy>Saber, M.</cp:lastModifiedBy>
  <cp:revision>21</cp:revision>
  <dcterms:created xsi:type="dcterms:W3CDTF">2016-10-24T15:05:00Z</dcterms:created>
  <dcterms:modified xsi:type="dcterms:W3CDTF">2016-11-06T18:10:00Z</dcterms:modified>
</cp:coreProperties>
</file>