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Times New Roman"/>
          <w:sz w:val="20"/>
        </w:rPr>
      </w:pPr>
    </w:p>
    <w:p w:rsidR="00AE3E37" w:rsidRDefault="00561BB2">
      <w:pPr>
        <w:pStyle w:val="Heading1"/>
        <w:spacing w:before="170"/>
      </w:pPr>
      <w:r>
        <w:rPr>
          <w:color w:val="337AB7"/>
        </w:rPr>
        <w:t>Haemozoin Formation in the Malaria Parasite: A Lipidomic Perspective</w:t>
      </w:r>
    </w:p>
    <w:p w:rsidR="00AE3E37" w:rsidRDefault="00561BB2" w:rsidP="00AF309E">
      <w:pPr>
        <w:pStyle w:val="BodyText"/>
        <w:spacing w:before="73" w:line="198" w:lineRule="exact"/>
        <w:ind w:left="100" w:right="5445"/>
        <w:rPr>
          <w:rFonts w:ascii="Arial"/>
        </w:rPr>
      </w:pPr>
      <w:r>
        <w:rPr>
          <w:rFonts w:ascii="Arial"/>
        </w:rPr>
        <w:t>Roxanne Mohunlal</w:t>
      </w:r>
      <w:r w:rsidR="00A9710C">
        <w:rPr>
          <w:rFonts w:ascii="Arial"/>
        </w:rPr>
        <w:t xml:space="preserve">, </w:t>
      </w:r>
      <w:r>
        <w:rPr>
          <w:rFonts w:ascii="Arial"/>
        </w:rPr>
        <w:t>University of Cape Town, RSA</w:t>
      </w:r>
      <w:r w:rsidR="00A9710C">
        <w:rPr>
          <w:rFonts w:ascii="Arial"/>
        </w:rPr>
        <w:t xml:space="preserve"> </w:t>
      </w:r>
      <w:r>
        <w:rPr>
          <w:rFonts w:ascii="Arial"/>
        </w:rPr>
        <w:br/>
        <w:t>David A. Fidock</w:t>
      </w:r>
      <w:r w:rsidR="00A9710C">
        <w:rPr>
          <w:rFonts w:ascii="Arial"/>
        </w:rPr>
        <w:t xml:space="preserve">, </w:t>
      </w:r>
      <w:r>
        <w:rPr>
          <w:rFonts w:ascii="Arial"/>
        </w:rPr>
        <w:t>Columbia University Medical Center</w:t>
      </w:r>
      <w:r w:rsidR="00A9710C">
        <w:rPr>
          <w:rFonts w:ascii="Arial"/>
        </w:rPr>
        <w:t>, USA</w:t>
      </w:r>
      <w:r>
        <w:rPr>
          <w:rFonts w:ascii="Arial"/>
        </w:rPr>
        <w:br/>
        <w:t xml:space="preserve">Timothy J. Egan, </w:t>
      </w:r>
      <w:r>
        <w:rPr>
          <w:rFonts w:ascii="Arial"/>
        </w:rPr>
        <w:t>University of Cape Town, RSA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6B0125" w:rsidRPr="006B0125" w:rsidRDefault="00A9710C" w:rsidP="006B0125">
      <w:pPr>
        <w:pStyle w:val="Heading3"/>
        <w:spacing w:before="147"/>
        <w:jc w:val="both"/>
        <w:rPr>
          <w:color w:val="BF5A14"/>
        </w:rPr>
      </w:pPr>
      <w:r w:rsidRPr="006B0125">
        <w:rPr>
          <w:color w:val="BF5A14"/>
        </w:rPr>
        <w:t>Abstract</w:t>
      </w:r>
      <w:r w:rsidR="00404E5B" w:rsidRPr="006B0125">
        <w:rPr>
          <w:color w:val="BF5A14"/>
        </w:rPr>
        <w:t xml:space="preserve"> </w:t>
      </w:r>
    </w:p>
    <w:p w:rsidR="00571976" w:rsidRPr="006B0125" w:rsidRDefault="00571976" w:rsidP="00571976">
      <w:pPr>
        <w:jc w:val="both"/>
        <w:rPr>
          <w:rFonts w:cs="Times New Roman"/>
          <w:sz w:val="18"/>
          <w:szCs w:val="18"/>
        </w:rPr>
      </w:pPr>
      <w:r w:rsidRPr="006B0125">
        <w:rPr>
          <w:rFonts w:cs="Times New Roman"/>
          <w:sz w:val="18"/>
          <w:szCs w:val="18"/>
        </w:rPr>
        <w:t xml:space="preserve">Malaria is caused by an intracellular pathogen, </w:t>
      </w:r>
      <w:r w:rsidRPr="006B0125">
        <w:rPr>
          <w:rFonts w:cs="Times New Roman"/>
          <w:i/>
          <w:sz w:val="18"/>
          <w:szCs w:val="18"/>
        </w:rPr>
        <w:t>Plasmodium falciparum</w:t>
      </w:r>
      <w:r w:rsidRPr="006B0125">
        <w:rPr>
          <w:rFonts w:cs="Times New Roman"/>
          <w:sz w:val="18"/>
          <w:szCs w:val="18"/>
        </w:rPr>
        <w:t xml:space="preserve">, which alternates its life cycle between mosquito and human hosts. Within the human host the parasite undergoes asexual reproduction during the blood stage of its life cycle. Haemozoin formation is an important biological process in the malaria parasite that enables this pathogen to survive within the human host. </w:t>
      </w:r>
      <w:r w:rsidR="008B0989">
        <w:rPr>
          <w:rFonts w:cs="Times New Roman"/>
          <w:i/>
          <w:sz w:val="18"/>
          <w:szCs w:val="18"/>
        </w:rPr>
        <w:t xml:space="preserve">Plasmodium </w:t>
      </w:r>
      <w:r w:rsidRPr="006B0125">
        <w:rPr>
          <w:rFonts w:cs="Times New Roman"/>
          <w:i/>
          <w:sz w:val="18"/>
          <w:szCs w:val="18"/>
        </w:rPr>
        <w:t>falciparum</w:t>
      </w:r>
      <w:r w:rsidRPr="006B0125">
        <w:rPr>
          <w:rFonts w:cs="Times New Roman"/>
          <w:sz w:val="18"/>
          <w:szCs w:val="18"/>
        </w:rPr>
        <w:t xml:space="preserve"> sequesters within the host erythrocyte and forms an acidic digestive vacuole where haemoglobin is degraded and globin used as a nutrient source (Fig. 1). Toxic free haem undergoes biocrystallisation to form inert haemozoin, a dynamic yet crucial process around which there is still debate as to whether proteins or lipids mediate the process. An interrogation into the lipidome of the digestive vacuole was carried out to help elucidate the mechanism of haemozoin formation.</w:t>
      </w:r>
    </w:p>
    <w:p w:rsidR="00571976" w:rsidRPr="006B0125" w:rsidRDefault="00571976" w:rsidP="00571976">
      <w:pPr>
        <w:jc w:val="both"/>
        <w:rPr>
          <w:rFonts w:cs="Times New Roman"/>
          <w:sz w:val="18"/>
          <w:szCs w:val="18"/>
        </w:rPr>
      </w:pPr>
    </w:p>
    <w:p w:rsidR="00571976" w:rsidRPr="006B0125" w:rsidRDefault="00571976" w:rsidP="00571976">
      <w:pPr>
        <w:jc w:val="both"/>
        <w:rPr>
          <w:rFonts w:cs="Times New Roman"/>
          <w:sz w:val="18"/>
          <w:szCs w:val="18"/>
        </w:rPr>
      </w:pPr>
      <w:r w:rsidRPr="006B0125">
        <w:rPr>
          <w:rFonts w:cs="Times New Roman"/>
          <w:sz w:val="18"/>
          <w:szCs w:val="18"/>
        </w:rPr>
        <w:t xml:space="preserve">The blood stage of </w:t>
      </w:r>
      <w:r w:rsidR="008B0989">
        <w:rPr>
          <w:rFonts w:cs="Times New Roman"/>
          <w:i/>
          <w:sz w:val="18"/>
          <w:szCs w:val="18"/>
        </w:rPr>
        <w:t xml:space="preserve">Plasmodium </w:t>
      </w:r>
      <w:r w:rsidRPr="006B0125">
        <w:rPr>
          <w:rFonts w:cs="Times New Roman"/>
          <w:i/>
          <w:sz w:val="18"/>
          <w:szCs w:val="18"/>
        </w:rPr>
        <w:t>falciparum</w:t>
      </w:r>
      <w:r w:rsidRPr="006B0125">
        <w:rPr>
          <w:rFonts w:cs="Times New Roman"/>
          <w:sz w:val="18"/>
          <w:szCs w:val="18"/>
        </w:rPr>
        <w:t xml:space="preserve"> was maintained in continuous culture. Mature trophozoites were harvested by saponin lysis then used to isolate digestive vacuoles. Isolated haemozoin was purified and </w:t>
      </w:r>
      <w:r w:rsidR="007B250E">
        <w:rPr>
          <w:rFonts w:cs="Times New Roman"/>
          <w:sz w:val="18"/>
          <w:szCs w:val="18"/>
        </w:rPr>
        <w:t xml:space="preserve">proteins and </w:t>
      </w:r>
      <w:r w:rsidR="008B0989">
        <w:rPr>
          <w:rFonts w:cs="Times New Roman"/>
          <w:sz w:val="18"/>
          <w:szCs w:val="18"/>
        </w:rPr>
        <w:t xml:space="preserve">lipids </w:t>
      </w:r>
      <w:r w:rsidRPr="006B0125">
        <w:rPr>
          <w:rFonts w:cs="Times New Roman"/>
          <w:sz w:val="18"/>
          <w:szCs w:val="18"/>
        </w:rPr>
        <w:t xml:space="preserve">extracted. Thin layer chromatography, confocal microscopy and lipidomics based on mass spectrometry were employed to identify and quantify lipid species. </w:t>
      </w:r>
      <w:bookmarkStart w:id="0" w:name="_GoBack"/>
      <w:bookmarkEnd w:id="0"/>
    </w:p>
    <w:p w:rsidR="00571976" w:rsidRPr="006B0125" w:rsidRDefault="00571976" w:rsidP="00571976">
      <w:pPr>
        <w:jc w:val="both"/>
        <w:rPr>
          <w:rFonts w:cs="Times New Roman"/>
          <w:sz w:val="18"/>
          <w:szCs w:val="18"/>
        </w:rPr>
      </w:pPr>
    </w:p>
    <w:p w:rsidR="006B0125" w:rsidRDefault="00571976" w:rsidP="00571976">
      <w:pPr>
        <w:jc w:val="both"/>
        <w:rPr>
          <w:rFonts w:cs="Times New Roman"/>
          <w:sz w:val="18"/>
          <w:szCs w:val="18"/>
        </w:rPr>
      </w:pPr>
      <w:r w:rsidRPr="006B0125">
        <w:rPr>
          <w:rFonts w:cs="Times New Roman"/>
          <w:sz w:val="18"/>
          <w:szCs w:val="18"/>
        </w:rPr>
        <w:t>Thin layer chromatography illustrated that dissolved haemozoin releases entrapped lipids with a unique lipid profile, consisting mainly of neutral lipids. Mass spectrometry identified acyl carnitine, cholesterol and cholesterol esters, with glycerolipids that are parasite specific. Surprisingly, cholesterol and cholesterol esters which are naturally abundant in the host erythrocyte were found to be associated with haemozoin in higher abundance than pr</w:t>
      </w:r>
      <w:r w:rsidR="006B0125">
        <w:rPr>
          <w:rFonts w:cs="Times New Roman"/>
          <w:sz w:val="18"/>
          <w:szCs w:val="18"/>
        </w:rPr>
        <w:t>eviously reported glycerolipids.</w:t>
      </w:r>
      <w:r w:rsidRPr="006B0125">
        <w:rPr>
          <w:rFonts w:cs="Times New Roman"/>
          <w:sz w:val="18"/>
          <w:szCs w:val="18"/>
        </w:rPr>
        <w:t xml:space="preserve"> </w:t>
      </w:r>
      <w:r w:rsidR="006B0125">
        <w:rPr>
          <w:rFonts w:cs="Times New Roman"/>
          <w:sz w:val="18"/>
          <w:szCs w:val="18"/>
        </w:rPr>
        <w:br/>
      </w:r>
    </w:p>
    <w:p w:rsidR="00571976" w:rsidRPr="006B0125" w:rsidRDefault="00571976" w:rsidP="00571976">
      <w:pPr>
        <w:jc w:val="both"/>
        <w:rPr>
          <w:rFonts w:cs="Times New Roman"/>
          <w:sz w:val="18"/>
          <w:szCs w:val="18"/>
        </w:rPr>
      </w:pPr>
      <w:r w:rsidRPr="006B0125">
        <w:rPr>
          <w:rFonts w:cs="Times New Roman"/>
          <w:sz w:val="18"/>
          <w:szCs w:val="18"/>
        </w:rPr>
        <w:t xml:space="preserve">Various lipid compositions obtained from mass spectrometry data was used to monitor </w:t>
      </w:r>
      <w:r w:rsidRPr="006B0125">
        <w:rPr>
          <w:rFonts w:ascii="Calibri" w:hAnsi="Calibri" w:cs="Calibri"/>
          <w:sz w:val="18"/>
          <w:szCs w:val="18"/>
        </w:rPr>
        <w:t>β</w:t>
      </w:r>
      <w:r w:rsidRPr="006B0125">
        <w:rPr>
          <w:rFonts w:cs="Times New Roman"/>
          <w:sz w:val="18"/>
          <w:szCs w:val="18"/>
        </w:rPr>
        <w:t xml:space="preserve">-haematin (synthetic haemozoin) formation and the rate at which this forms. </w:t>
      </w:r>
    </w:p>
    <w:p w:rsidR="00571976" w:rsidRDefault="00571976" w:rsidP="00571976">
      <w:pPr>
        <w:jc w:val="both"/>
        <w:rPr>
          <w:rFonts w:ascii="Times New Roman" w:hAnsi="Times New Roman" w:cs="Times New Roman"/>
          <w:sz w:val="24"/>
          <w:szCs w:val="24"/>
        </w:rPr>
      </w:pPr>
      <w:r w:rsidRPr="006B0125">
        <w:rPr>
          <w:rFonts w:cs="Times New Roman"/>
          <w:sz w:val="18"/>
          <w:szCs w:val="18"/>
        </w:rPr>
        <w:t>The presence of cholesterol within haemozoin provides new insights into lipid composition, haemozoin formation and overall malaria parasite biology.</w:t>
      </w:r>
    </w:p>
    <w:p w:rsidR="00AE3E37" w:rsidRDefault="00AE3E37" w:rsidP="00AF309E">
      <w:pPr>
        <w:pStyle w:val="Heading3"/>
        <w:spacing w:before="74"/>
        <w:ind w:left="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5"/>
      </w:tblGrid>
      <w:tr w:rsidR="00F97C3C" w:rsidTr="006B0125">
        <w:trPr>
          <w:jc w:val="center"/>
        </w:trPr>
        <w:tc>
          <w:tcPr>
            <w:tcW w:w="4975" w:type="dxa"/>
          </w:tcPr>
          <w:p w:rsidR="00F97C3C" w:rsidRDefault="00F97C3C" w:rsidP="00F97C3C">
            <w:pPr>
              <w:pStyle w:val="BodyText"/>
              <w:spacing w:before="2"/>
              <w:jc w:val="center"/>
              <w:rPr>
                <w:rFonts w:ascii="Arial"/>
                <w:b/>
                <w:sz w:val="16"/>
              </w:rPr>
            </w:pPr>
            <w:r>
              <w:rPr>
                <w:rFonts w:ascii="Arial"/>
                <w:b/>
                <w:noProof/>
                <w:sz w:val="16"/>
              </w:rPr>
              <w:drawing>
                <wp:inline distT="0" distB="0" distL="0" distR="0">
                  <wp:extent cx="2662732" cy="1826789"/>
                  <wp:effectExtent l="0" t="0" r="444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BC schemati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9572" cy="1831481"/>
                          </a:xfrm>
                          <a:prstGeom prst="rect">
                            <a:avLst/>
                          </a:prstGeom>
                        </pic:spPr>
                      </pic:pic>
                    </a:graphicData>
                  </a:graphic>
                </wp:inline>
              </w:drawing>
            </w:r>
          </w:p>
        </w:tc>
      </w:tr>
      <w:tr w:rsidR="00F97C3C" w:rsidTr="006B0125">
        <w:trPr>
          <w:jc w:val="center"/>
        </w:trPr>
        <w:tc>
          <w:tcPr>
            <w:tcW w:w="4975" w:type="dxa"/>
          </w:tcPr>
          <w:p w:rsidR="00F97C3C" w:rsidRDefault="00F97C3C" w:rsidP="00C24045">
            <w:pPr>
              <w:pStyle w:val="BodyText"/>
              <w:spacing w:before="2"/>
              <w:rPr>
                <w:rFonts w:ascii="Arial"/>
                <w:b/>
                <w:sz w:val="16"/>
              </w:rPr>
            </w:pPr>
            <w:r>
              <w:t xml:space="preserve">Figure 1: Schematic showing the </w:t>
            </w:r>
            <w:r w:rsidR="00C24045">
              <w:t>d</w:t>
            </w:r>
            <w:r>
              <w:t>egradation of haemoglobin (</w:t>
            </w:r>
            <w:proofErr w:type="spellStart"/>
            <w:r>
              <w:t>Hb</w:t>
            </w:r>
            <w:proofErr w:type="spellEnd"/>
            <w:r>
              <w:t xml:space="preserve">) in the malaria parasite and </w:t>
            </w:r>
            <w:r w:rsidR="00C24045">
              <w:t>the biocrystallisation of haem into haemozoin, a dynamic process that is not well understood.</w:t>
            </w:r>
          </w:p>
        </w:tc>
      </w:tr>
    </w:tbl>
    <w:p w:rsidR="00AE3E37" w:rsidRPr="006B0125" w:rsidRDefault="008B0989" w:rsidP="008B0989">
      <w:pPr>
        <w:spacing w:before="157"/>
        <w:rPr>
          <w:rFonts w:ascii="Arial" w:hAnsi="Arial" w:cs="Arial"/>
          <w:b/>
          <w:sz w:val="20"/>
          <w:szCs w:val="20"/>
        </w:rPr>
      </w:pPr>
      <w:r>
        <w:rPr>
          <w:rFonts w:ascii="Arial"/>
          <w:b/>
          <w:sz w:val="16"/>
          <w:szCs w:val="18"/>
        </w:rPr>
        <w:t xml:space="preserve">   </w:t>
      </w:r>
      <w:r w:rsidR="00414F7B" w:rsidRPr="006B0125">
        <w:rPr>
          <w:rFonts w:ascii="Arial" w:hAnsi="Arial" w:cs="Arial"/>
          <w:b/>
          <w:color w:val="BF5A14"/>
          <w:sz w:val="20"/>
          <w:szCs w:val="20"/>
        </w:rPr>
        <w:t>Recent publi</w:t>
      </w:r>
      <w:r w:rsidR="00561BB2" w:rsidRPr="006B0125">
        <w:rPr>
          <w:rFonts w:ascii="Arial" w:hAnsi="Arial" w:cs="Arial"/>
          <w:b/>
          <w:color w:val="BF5A14"/>
          <w:sz w:val="20"/>
          <w:szCs w:val="20"/>
        </w:rPr>
        <w:t>cations</w:t>
      </w:r>
    </w:p>
    <w:p w:rsidR="00AE3E37" w:rsidRPr="006B0125" w:rsidRDefault="00561BB2" w:rsidP="00561BB2">
      <w:pPr>
        <w:pStyle w:val="ListParagraph"/>
        <w:numPr>
          <w:ilvl w:val="0"/>
          <w:numId w:val="2"/>
        </w:numPr>
        <w:tabs>
          <w:tab w:val="left" w:pos="384"/>
        </w:tabs>
        <w:ind w:right="117"/>
        <w:rPr>
          <w:rFonts w:ascii="Tw Cen MT" w:hAnsi="Tw Cen MT"/>
          <w:sz w:val="18"/>
          <w:szCs w:val="18"/>
        </w:rPr>
      </w:pPr>
      <w:proofErr w:type="spellStart"/>
      <w:r w:rsidRPr="006B0125">
        <w:rPr>
          <w:rFonts w:ascii="Tw Cen MT" w:hAnsi="Tw Cen MT"/>
          <w:sz w:val="18"/>
          <w:szCs w:val="18"/>
        </w:rPr>
        <w:t>Kuter</w:t>
      </w:r>
      <w:proofErr w:type="spellEnd"/>
      <w:r w:rsidRPr="006B0125">
        <w:rPr>
          <w:rFonts w:ascii="Tw Cen MT" w:hAnsi="Tw Cen MT"/>
          <w:sz w:val="18"/>
          <w:szCs w:val="18"/>
        </w:rPr>
        <w:t xml:space="preserve"> D</w:t>
      </w:r>
      <w:r w:rsidR="00A9710C" w:rsidRPr="006B0125">
        <w:rPr>
          <w:rFonts w:ascii="Tw Cen MT" w:hAnsi="Tw Cen MT"/>
          <w:sz w:val="18"/>
          <w:szCs w:val="18"/>
        </w:rPr>
        <w:t xml:space="preserve">, </w:t>
      </w:r>
      <w:r w:rsidRPr="006B0125">
        <w:rPr>
          <w:rFonts w:ascii="Tw Cen MT" w:hAnsi="Tw Cen MT"/>
          <w:sz w:val="18"/>
          <w:szCs w:val="18"/>
        </w:rPr>
        <w:t>Mohunlal R, Fitzroy S, Asher C, Smith PJ, Egan TJ, de Villiers KA (2016</w:t>
      </w:r>
      <w:r w:rsidR="00A9710C" w:rsidRPr="006B0125">
        <w:rPr>
          <w:rFonts w:ascii="Tw Cen MT" w:hAnsi="Tw Cen MT"/>
          <w:sz w:val="18"/>
          <w:szCs w:val="18"/>
        </w:rPr>
        <w:t xml:space="preserve">) </w:t>
      </w:r>
      <w:r w:rsidRPr="006B0125">
        <w:rPr>
          <w:rFonts w:ascii="Tw Cen MT" w:hAnsi="Tw Cen MT"/>
          <w:sz w:val="18"/>
          <w:szCs w:val="18"/>
        </w:rPr>
        <w:t xml:space="preserve">Insights into the initial stages of lipid-mediated haemozoin nucleation. </w:t>
      </w:r>
      <w:proofErr w:type="spellStart"/>
      <w:r w:rsidR="00ED2B98" w:rsidRPr="006B0125">
        <w:rPr>
          <w:rFonts w:ascii="Tw Cen MT" w:hAnsi="Tw Cen MT"/>
          <w:sz w:val="18"/>
          <w:szCs w:val="18"/>
        </w:rPr>
        <w:t>CrystEngComm</w:t>
      </w:r>
      <w:proofErr w:type="spellEnd"/>
      <w:r w:rsidR="00A9710C" w:rsidRPr="006B0125">
        <w:rPr>
          <w:rFonts w:ascii="Tw Cen MT" w:hAnsi="Tw Cen MT"/>
          <w:sz w:val="18"/>
          <w:szCs w:val="18"/>
        </w:rPr>
        <w:t xml:space="preserve"> </w:t>
      </w:r>
      <w:r w:rsidR="00ED2B98" w:rsidRPr="006B0125">
        <w:rPr>
          <w:rFonts w:ascii="Tw Cen MT" w:hAnsi="Tw Cen MT"/>
          <w:sz w:val="18"/>
          <w:szCs w:val="18"/>
        </w:rPr>
        <w:t>18</w:t>
      </w:r>
      <w:r w:rsidR="00A9710C" w:rsidRPr="006B0125">
        <w:rPr>
          <w:rFonts w:ascii="Tw Cen MT" w:hAnsi="Tw Cen MT"/>
          <w:sz w:val="18"/>
          <w:szCs w:val="18"/>
        </w:rPr>
        <w:t>:</w:t>
      </w:r>
      <w:r w:rsidR="00ED2B98" w:rsidRPr="006B0125">
        <w:rPr>
          <w:rFonts w:ascii="Tw Cen MT" w:hAnsi="Tw Cen MT"/>
          <w:sz w:val="18"/>
          <w:szCs w:val="18"/>
        </w:rPr>
        <w:t>5177-5187</w:t>
      </w:r>
      <w:r w:rsidR="00A9710C" w:rsidRPr="006B0125">
        <w:rPr>
          <w:rFonts w:ascii="Tw Cen MT" w:hAnsi="Tw Cen MT"/>
          <w:sz w:val="18"/>
          <w:szCs w:val="18"/>
        </w:rPr>
        <w:t>.</w:t>
      </w:r>
    </w:p>
    <w:p w:rsidR="00AE3E37" w:rsidRPr="006B0125" w:rsidRDefault="00AE3E37">
      <w:pPr>
        <w:spacing w:line="200" w:lineRule="exact"/>
        <w:jc w:val="both"/>
        <w:rPr>
          <w:sz w:val="18"/>
          <w:szCs w:val="18"/>
        </w:rPr>
        <w:sectPr w:rsidR="00AE3E37" w:rsidRPr="006B0125">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172265">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C9AE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Pr="006B0125" w:rsidRDefault="00161EC9" w:rsidP="00AF309E">
      <w:pPr>
        <w:spacing w:before="92"/>
        <w:ind w:right="4234"/>
        <w:jc w:val="right"/>
        <w:rPr>
          <w:rFonts w:ascii="Arial"/>
          <w:sz w:val="20"/>
          <w:szCs w:val="20"/>
        </w:rPr>
      </w:pPr>
      <w:r>
        <w:rPr>
          <w:noProof/>
        </w:rPr>
        <w:drawing>
          <wp:anchor distT="0" distB="0" distL="114300" distR="114300" simplePos="0" relativeHeight="251660288" behindDoc="0" locked="0" layoutInCell="1" allowOverlap="1">
            <wp:simplePos x="0" y="0"/>
            <wp:positionH relativeFrom="margin">
              <wp:posOffset>178119</wp:posOffset>
            </wp:positionH>
            <wp:positionV relativeFrom="page">
              <wp:posOffset>7169037</wp:posOffset>
            </wp:positionV>
            <wp:extent cx="958850" cy="982980"/>
            <wp:effectExtent l="19050" t="19050" r="12700" b="266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x.jpg"/>
                    <pic:cNvPicPr/>
                  </pic:nvPicPr>
                  <pic:blipFill>
                    <a:blip r:embed="rId10" cstate="print">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958850" cy="98298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A9710C" w:rsidRPr="006B0125">
        <w:rPr>
          <w:rFonts w:ascii="Arial"/>
          <w:color w:val="BF5A14"/>
          <w:sz w:val="20"/>
          <w:szCs w:val="20"/>
        </w:rPr>
        <w:t>Biography</w:t>
      </w:r>
    </w:p>
    <w:p w:rsidR="00DE1645" w:rsidRDefault="00DE1645" w:rsidP="00DE1645">
      <w:pPr>
        <w:rPr>
          <w:rFonts w:ascii="Arial" w:hAnsi="Arial" w:cs="Arial"/>
          <w:color w:val="333333"/>
          <w:sz w:val="18"/>
          <w:szCs w:val="18"/>
        </w:rPr>
      </w:pPr>
      <w:r>
        <w:rPr>
          <w:rFonts w:ascii="Arial" w:hAnsi="Arial" w:cs="Arial"/>
          <w:color w:val="333333"/>
          <w:sz w:val="18"/>
          <w:szCs w:val="18"/>
        </w:rPr>
        <w:t xml:space="preserve">Roxanne completed her undergraduate studies </w:t>
      </w:r>
      <w:r w:rsidR="008B0989">
        <w:rPr>
          <w:rFonts w:ascii="Arial" w:hAnsi="Arial" w:cs="Arial"/>
          <w:color w:val="333333"/>
          <w:sz w:val="18"/>
          <w:szCs w:val="18"/>
        </w:rPr>
        <w:t>specializing</w:t>
      </w:r>
      <w:r>
        <w:rPr>
          <w:rFonts w:ascii="Arial" w:hAnsi="Arial" w:cs="Arial"/>
          <w:color w:val="333333"/>
          <w:sz w:val="18"/>
          <w:szCs w:val="18"/>
        </w:rPr>
        <w:t xml:space="preserve"> in chemistry</w:t>
      </w:r>
      <w:r>
        <w:rPr>
          <w:rFonts w:ascii="Arial" w:hAnsi="Arial" w:cs="Arial"/>
          <w:color w:val="333333"/>
          <w:sz w:val="18"/>
          <w:szCs w:val="18"/>
        </w:rPr>
        <w:t>, also comprising modules in biochemistry and microbiology</w:t>
      </w:r>
      <w:r>
        <w:rPr>
          <w:rFonts w:ascii="Arial" w:hAnsi="Arial" w:cs="Arial"/>
          <w:color w:val="333333"/>
          <w:sz w:val="18"/>
          <w:szCs w:val="18"/>
        </w:rPr>
        <w:t xml:space="preserve"> at the University of Cape Town. Driven by her passion for chemistry and biology, she is currently pursuing her PhD under the supervision of Professor Timothy J Egan at the Department of Chemistry, University of Cape Town, South Africa. Her research involves </w:t>
      </w:r>
      <w:r w:rsidRPr="008623B1">
        <w:rPr>
          <w:rFonts w:ascii="Arial" w:hAnsi="Arial" w:cs="Arial"/>
          <w:i/>
          <w:color w:val="333333"/>
          <w:sz w:val="18"/>
          <w:szCs w:val="18"/>
        </w:rPr>
        <w:t>in vitro</w:t>
      </w:r>
      <w:r>
        <w:rPr>
          <w:rFonts w:ascii="Arial" w:hAnsi="Arial" w:cs="Arial"/>
          <w:color w:val="333333"/>
          <w:sz w:val="18"/>
          <w:szCs w:val="18"/>
        </w:rPr>
        <w:t xml:space="preserve"> work with the malaria parasite, </w:t>
      </w:r>
      <w:r w:rsidRPr="008623B1">
        <w:rPr>
          <w:rFonts w:ascii="Arial" w:hAnsi="Arial" w:cs="Arial"/>
          <w:i/>
          <w:color w:val="333333"/>
          <w:sz w:val="18"/>
          <w:szCs w:val="18"/>
        </w:rPr>
        <w:t>Plasmodium falciparum</w:t>
      </w:r>
      <w:r>
        <w:rPr>
          <w:rFonts w:ascii="Arial" w:hAnsi="Arial" w:cs="Arial"/>
          <w:color w:val="333333"/>
          <w:sz w:val="18"/>
          <w:szCs w:val="18"/>
        </w:rPr>
        <w:t>, and spans across the field of systems biology incorporating metallomics, proteomics and lipidomics. She applies this multi-faceted approach towards understanding the complexities of the malaria parasite’s biology focusing on the haemozoin formation pathway.</w:t>
      </w:r>
    </w:p>
    <w:p w:rsidR="00AE3E37" w:rsidRDefault="00A9710C">
      <w:pPr>
        <w:spacing w:before="62"/>
        <w:ind w:left="4217" w:right="4235"/>
        <w:jc w:val="center"/>
        <w:rPr>
          <w:rFonts w:ascii="Arial"/>
          <w:sz w:val="14"/>
        </w:rPr>
      </w:pPr>
      <w:r>
        <w:rPr>
          <w:rFonts w:ascii="Arial"/>
          <w:sz w:val="14"/>
        </w:rPr>
        <w:t xml:space="preserve">Email: </w:t>
      </w:r>
      <w:hyperlink r:id="rId12" w:history="1">
        <w:r w:rsidR="00AF309E" w:rsidRPr="00DD1695">
          <w:rPr>
            <w:rStyle w:val="Hyperlink"/>
            <w:rFonts w:ascii="Arial"/>
            <w:sz w:val="14"/>
          </w:rPr>
          <w:t>mhnrox001@myuct.ac.za</w:t>
        </w:r>
      </w:hyperlink>
      <w:r w:rsidR="00172265">
        <w:rPr>
          <w:rFonts w:ascii="Arial"/>
          <w:color w:val="004080"/>
          <w:sz w:val="14"/>
        </w:rPr>
        <w:br/>
      </w:r>
      <w:r w:rsidR="00172265" w:rsidRPr="00AF309E">
        <w:rPr>
          <w:rFonts w:ascii="Arial"/>
          <w:color w:val="000000" w:themeColor="text1"/>
          <w:sz w:val="14"/>
        </w:rPr>
        <w:t xml:space="preserve">Contact No.: </w:t>
      </w:r>
      <w:r w:rsidR="00AF309E">
        <w:rPr>
          <w:rFonts w:ascii="Arial"/>
          <w:color w:val="004080"/>
          <w:sz w:val="14"/>
        </w:rPr>
        <w:t>(+27) 21 650 2562</w:t>
      </w:r>
    </w:p>
    <w:p w:rsidR="00AE3E37" w:rsidRDefault="00172265">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55EE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C7325A" w:rsidRDefault="00A9710C" w:rsidP="00C7325A">
      <w:pPr>
        <w:spacing w:before="39"/>
        <w:ind w:left="100"/>
        <w:rPr>
          <w:rFonts w:ascii="Minion Pro"/>
          <w:b/>
          <w:sz w:val="20"/>
        </w:rPr>
        <w:sectPr w:rsidR="00AE3E37" w:rsidRPr="00C7325A">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C7325A">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2AA" w:rsidRDefault="003542AA">
      <w:r>
        <w:separator/>
      </w:r>
    </w:p>
  </w:endnote>
  <w:endnote w:type="continuationSeparator" w:id="0">
    <w:p w:rsidR="003542AA" w:rsidRDefault="00354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7226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2AA" w:rsidRDefault="003542AA">
      <w:r>
        <w:separator/>
      </w:r>
    </w:p>
  </w:footnote>
  <w:footnote w:type="continuationSeparator" w:id="0">
    <w:p w:rsidR="003542AA" w:rsidRDefault="003542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72265">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245"/>
    <w:rsid w:val="000E2911"/>
    <w:rsid w:val="001263DF"/>
    <w:rsid w:val="00161EC9"/>
    <w:rsid w:val="00172265"/>
    <w:rsid w:val="0022239E"/>
    <w:rsid w:val="0032766B"/>
    <w:rsid w:val="003542AA"/>
    <w:rsid w:val="00404E5B"/>
    <w:rsid w:val="00414F7B"/>
    <w:rsid w:val="004355DC"/>
    <w:rsid w:val="004749B4"/>
    <w:rsid w:val="004F3523"/>
    <w:rsid w:val="00507542"/>
    <w:rsid w:val="00561BB2"/>
    <w:rsid w:val="00571976"/>
    <w:rsid w:val="005B3A56"/>
    <w:rsid w:val="006060CE"/>
    <w:rsid w:val="0063497F"/>
    <w:rsid w:val="006B0125"/>
    <w:rsid w:val="006F2613"/>
    <w:rsid w:val="007B250E"/>
    <w:rsid w:val="00873DF0"/>
    <w:rsid w:val="008A53EE"/>
    <w:rsid w:val="008B0989"/>
    <w:rsid w:val="009B2D44"/>
    <w:rsid w:val="00A9710C"/>
    <w:rsid w:val="00AE3E37"/>
    <w:rsid w:val="00AE763B"/>
    <w:rsid w:val="00AF309E"/>
    <w:rsid w:val="00AF50F4"/>
    <w:rsid w:val="00B21A57"/>
    <w:rsid w:val="00C24045"/>
    <w:rsid w:val="00C33602"/>
    <w:rsid w:val="00C7325A"/>
    <w:rsid w:val="00CD6F55"/>
    <w:rsid w:val="00DD20B9"/>
    <w:rsid w:val="00DE1645"/>
    <w:rsid w:val="00ED2B98"/>
    <w:rsid w:val="00F72EEA"/>
    <w:rsid w:val="00F84CAE"/>
    <w:rsid w:val="00F97C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FFC599-7492-44EF-9BBB-5623FBCD8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AF309E"/>
    <w:rPr>
      <w:color w:val="0000FF" w:themeColor="hyperlink"/>
      <w:u w:val="single"/>
    </w:rPr>
  </w:style>
  <w:style w:type="table" w:styleId="TableGrid">
    <w:name w:val="Table Grid"/>
    <w:basedOn w:val="TableNormal"/>
    <w:uiPriority w:val="59"/>
    <w:rsid w:val="00F97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537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hnrox001@myuct.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Roxanne Mohunlal</cp:lastModifiedBy>
  <cp:revision>11</cp:revision>
  <dcterms:created xsi:type="dcterms:W3CDTF">2017-08-01T21:50:00Z</dcterms:created>
  <dcterms:modified xsi:type="dcterms:W3CDTF">2017-08-01T23:12:00Z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