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397" w:rsidRPr="00BC5846" w:rsidRDefault="00BC5846" w:rsidP="002F4397">
      <w:pPr>
        <w:pStyle w:val="Heading1"/>
        <w:spacing w:before="170" w:line="240" w:lineRule="auto"/>
        <w:ind w:left="0"/>
        <w:rPr>
          <w:rFonts w:ascii="Times New Roman" w:hAnsi="Times New Roman" w:cs="Times New Roman"/>
          <w:color w:val="1F497D" w:themeColor="text2"/>
          <w:sz w:val="18"/>
          <w:szCs w:val="18"/>
        </w:rPr>
      </w:pPr>
      <w:r w:rsidRPr="00BC5846">
        <w:rPr>
          <w:rFonts w:ascii="Times New Roman" w:hAnsi="Times New Roman" w:cs="Times New Roman"/>
          <w:color w:val="1F497D" w:themeColor="text2"/>
          <w:sz w:val="18"/>
          <w:szCs w:val="18"/>
        </w:rPr>
        <w:t>“</w:t>
      </w:r>
      <w:r w:rsidR="003D728D" w:rsidRPr="00BC5846">
        <w:rPr>
          <w:rFonts w:ascii="Times New Roman" w:hAnsi="Times New Roman" w:cs="Times New Roman"/>
          <w:color w:val="1F497D" w:themeColor="text2"/>
          <w:sz w:val="18"/>
          <w:szCs w:val="18"/>
        </w:rPr>
        <w:t>Associati</w:t>
      </w:r>
      <w:r w:rsidR="00AF1DCC">
        <w:rPr>
          <w:rFonts w:ascii="Times New Roman" w:hAnsi="Times New Roman" w:cs="Times New Roman"/>
          <w:color w:val="1F497D" w:themeColor="text2"/>
          <w:sz w:val="18"/>
          <w:szCs w:val="18"/>
        </w:rPr>
        <w:t>on of Glutathione S-transferase</w:t>
      </w:r>
      <w:r w:rsidR="003D728D" w:rsidRPr="00BC5846">
        <w:rPr>
          <w:rFonts w:ascii="Times New Roman" w:hAnsi="Times New Roman" w:cs="Times New Roman"/>
          <w:color w:val="1F497D" w:themeColor="text2"/>
          <w:sz w:val="18"/>
          <w:szCs w:val="18"/>
        </w:rPr>
        <w:t xml:space="preserve"> gene polymorphism with prostate cancer risk in Bangladeshi population</w:t>
      </w:r>
      <w:r w:rsidR="00FC4618" w:rsidRPr="00BC5846">
        <w:rPr>
          <w:rFonts w:ascii="Times New Roman" w:hAnsi="Times New Roman" w:cs="Times New Roman"/>
          <w:color w:val="1F497D" w:themeColor="text2"/>
          <w:sz w:val="18"/>
          <w:szCs w:val="18"/>
        </w:rPr>
        <w:t>”</w:t>
      </w:r>
    </w:p>
    <w:p w:rsidR="007E02F4" w:rsidRPr="00FC4618" w:rsidRDefault="0050102A" w:rsidP="002F4397">
      <w:pPr>
        <w:pStyle w:val="Heading1"/>
        <w:spacing w:before="170" w:line="240" w:lineRule="auto"/>
        <w:ind w:left="0"/>
        <w:rPr>
          <w:rFonts w:ascii="Times New Roman" w:hAnsi="Times New Roman" w:cs="Times New Roman"/>
          <w:sz w:val="16"/>
          <w:szCs w:val="16"/>
        </w:rPr>
      </w:pPr>
      <w:r w:rsidRPr="00FC4618">
        <w:rPr>
          <w:rFonts w:ascii="Times New Roman" w:hAnsi="Times New Roman" w:cs="Times New Roman"/>
          <w:sz w:val="16"/>
          <w:szCs w:val="16"/>
        </w:rPr>
        <w:t xml:space="preserve">Dr. </w:t>
      </w:r>
      <w:r w:rsidR="0040410A" w:rsidRPr="00FC4618">
        <w:rPr>
          <w:rFonts w:ascii="Times New Roman" w:hAnsi="Times New Roman" w:cs="Times New Roman"/>
          <w:sz w:val="16"/>
          <w:szCs w:val="16"/>
        </w:rPr>
        <w:t>Ayatun Nesa,</w:t>
      </w:r>
      <w:r w:rsidRPr="00FC4618">
        <w:rPr>
          <w:rFonts w:ascii="Times New Roman" w:hAnsi="Times New Roman" w:cs="Times New Roman"/>
          <w:sz w:val="16"/>
          <w:szCs w:val="16"/>
        </w:rPr>
        <w:t xml:space="preserve"> Associate Professor ( Laboratory Medicine),</w:t>
      </w:r>
      <w:r w:rsidR="0040410A" w:rsidRPr="00FC4618">
        <w:rPr>
          <w:rFonts w:ascii="Times New Roman" w:hAnsi="Times New Roman" w:cs="Times New Roman"/>
          <w:sz w:val="16"/>
          <w:szCs w:val="16"/>
        </w:rPr>
        <w:t xml:space="preserve"> BIRDEM General Hospital, Bangladesh</w:t>
      </w:r>
    </w:p>
    <w:p w:rsidR="007E02F4" w:rsidRPr="008B0AD9" w:rsidRDefault="007E02F4" w:rsidP="007E02F4">
      <w:pPr>
        <w:rPr>
          <w:rFonts w:ascii="Times New Roman" w:hAnsi="Times New Roman" w:cs="Times New Roman"/>
          <w:sz w:val="20"/>
          <w:szCs w:val="20"/>
        </w:rPr>
        <w:sectPr w:rsidR="007E02F4" w:rsidRPr="008B0AD9" w:rsidSect="007E02F4">
          <w:headerReference w:type="default" r:id="rId7"/>
          <w:footerReference w:type="default" r:id="rId8"/>
          <w:pgSz w:w="11910" w:h="16840"/>
          <w:pgMar w:top="1740" w:right="600" w:bottom="840" w:left="620" w:header="541" w:footer="642" w:gutter="0"/>
          <w:cols w:space="720"/>
        </w:sectPr>
      </w:pPr>
    </w:p>
    <w:p w:rsidR="007E02F4" w:rsidRPr="00FC4618" w:rsidRDefault="007E02F4" w:rsidP="002F4397">
      <w:pPr>
        <w:pStyle w:val="Heading3"/>
        <w:spacing w:before="147"/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FC4618">
        <w:rPr>
          <w:rFonts w:ascii="Times New Roman" w:hAnsi="Times New Roman" w:cs="Times New Roman"/>
          <w:color w:val="BF5A14"/>
          <w:sz w:val="18"/>
          <w:szCs w:val="18"/>
        </w:rPr>
        <w:lastRenderedPageBreak/>
        <w:t>Abstract (300 word limit)</w:t>
      </w:r>
    </w:p>
    <w:p w:rsidR="008B0AD9" w:rsidRPr="00FC4618" w:rsidRDefault="00E453F5" w:rsidP="005A2CFF">
      <w:pPr>
        <w:pStyle w:val="Default"/>
        <w:spacing w:line="360" w:lineRule="auto"/>
        <w:jc w:val="both"/>
        <w:rPr>
          <w:rFonts w:eastAsia="Times New Roman"/>
          <w:sz w:val="16"/>
          <w:szCs w:val="16"/>
        </w:rPr>
      </w:pPr>
      <w:r>
        <w:rPr>
          <w:b/>
          <w:noProof/>
          <w:sz w:val="20"/>
          <w:szCs w:val="20"/>
        </w:rPr>
        <w:t xml:space="preserve"> </w:t>
      </w:r>
      <w:r w:rsidR="008B0AD9" w:rsidRPr="00FC4618">
        <w:rPr>
          <w:sz w:val="16"/>
          <w:szCs w:val="16"/>
          <w:lang w:bidi="bn-BD"/>
        </w:rPr>
        <w:t xml:space="preserve">Background: </w:t>
      </w:r>
      <w:r w:rsidR="008B0AD9" w:rsidRPr="00FC4618">
        <w:rPr>
          <w:sz w:val="16"/>
          <w:szCs w:val="16"/>
          <w:shd w:val="clear" w:color="auto" w:fill="FFFFFF"/>
        </w:rPr>
        <w:t xml:space="preserve">Prostate cancer (PCa) is the </w:t>
      </w:r>
      <w:r w:rsidR="008B0AD9" w:rsidRPr="00FC4618">
        <w:rPr>
          <w:bCs/>
          <w:sz w:val="16"/>
          <w:szCs w:val="16"/>
        </w:rPr>
        <w:t>second leading cause of cancer related morality in men</w:t>
      </w:r>
      <w:r w:rsidR="008B0AD9" w:rsidRPr="00FC4618">
        <w:rPr>
          <w:sz w:val="16"/>
          <w:szCs w:val="16"/>
        </w:rPr>
        <w:t xml:space="preserve">. </w:t>
      </w:r>
      <w:r w:rsidR="007D2823" w:rsidRPr="00FC4618">
        <w:rPr>
          <w:rStyle w:val="A2"/>
          <w:sz w:val="16"/>
          <w:szCs w:val="16"/>
        </w:rPr>
        <w:t>Glutathione S transferase (GST) is a family of phase II metabolism enzymes involved in the detoxification of various exogenous as well as endogenous reactive species</w:t>
      </w:r>
      <w:r w:rsidR="007D2823" w:rsidRPr="00FC4618">
        <w:rPr>
          <w:sz w:val="16"/>
          <w:szCs w:val="16"/>
        </w:rPr>
        <w:t xml:space="preserve">. </w:t>
      </w:r>
      <w:r w:rsidR="004B2B40" w:rsidRPr="00FC4618">
        <w:rPr>
          <w:sz w:val="16"/>
          <w:szCs w:val="16"/>
          <w:shd w:val="clear" w:color="auto" w:fill="FFFFFF"/>
        </w:rPr>
        <w:t>S</w:t>
      </w:r>
      <w:r w:rsidR="005A2CFF" w:rsidRPr="00FC4618">
        <w:rPr>
          <w:rStyle w:val="apple-converted-space"/>
          <w:sz w:val="16"/>
          <w:szCs w:val="16"/>
          <w:shd w:val="clear" w:color="auto" w:fill="FFFFFF"/>
        </w:rPr>
        <w:t>everal studies revealed</w:t>
      </w:r>
      <w:r w:rsidR="008B0AD9" w:rsidRPr="00FC4618">
        <w:rPr>
          <w:rStyle w:val="apple-converted-space"/>
          <w:sz w:val="16"/>
          <w:szCs w:val="16"/>
          <w:shd w:val="clear" w:color="auto" w:fill="FFFFFF"/>
        </w:rPr>
        <w:t xml:space="preserve"> GSTT1 and GSTM1 </w:t>
      </w:r>
      <w:r w:rsidR="005A2CFF" w:rsidRPr="00FC4618">
        <w:rPr>
          <w:rStyle w:val="apple-converted-space"/>
          <w:sz w:val="16"/>
          <w:szCs w:val="16"/>
          <w:shd w:val="clear" w:color="auto" w:fill="FFFFFF"/>
        </w:rPr>
        <w:t xml:space="preserve">gene </w:t>
      </w:r>
      <w:r w:rsidR="008B0AD9" w:rsidRPr="00FC4618">
        <w:rPr>
          <w:rStyle w:val="apple-converted-space"/>
          <w:sz w:val="16"/>
          <w:szCs w:val="16"/>
          <w:shd w:val="clear" w:color="auto" w:fill="FFFFFF"/>
        </w:rPr>
        <w:t>polymorphisms were associated with prostate cancer risk</w:t>
      </w:r>
      <w:r w:rsidR="007D2823" w:rsidRPr="00FC4618">
        <w:rPr>
          <w:rStyle w:val="apple-converted-space"/>
          <w:sz w:val="16"/>
          <w:szCs w:val="16"/>
          <w:shd w:val="clear" w:color="auto" w:fill="FFFFFF"/>
        </w:rPr>
        <w:t>.</w:t>
      </w:r>
      <w:r w:rsidR="008B0AD9" w:rsidRPr="00FC4618">
        <w:rPr>
          <w:rStyle w:val="apple-converted-space"/>
          <w:sz w:val="16"/>
          <w:szCs w:val="16"/>
          <w:shd w:val="clear" w:color="auto" w:fill="FFFFFF"/>
        </w:rPr>
        <w:t xml:space="preserve"> </w:t>
      </w:r>
      <w:r w:rsidR="005A2CFF" w:rsidRPr="00FC4618">
        <w:rPr>
          <w:rStyle w:val="apple-converted-space"/>
          <w:sz w:val="16"/>
          <w:szCs w:val="16"/>
          <w:shd w:val="clear" w:color="auto" w:fill="FFFFFF"/>
        </w:rPr>
        <w:t>There is no such study done in Bangladesh. So, t</w:t>
      </w:r>
      <w:r w:rsidR="008B0AD9" w:rsidRPr="00FC4618">
        <w:rPr>
          <w:sz w:val="16"/>
          <w:szCs w:val="16"/>
        </w:rPr>
        <w:t xml:space="preserve">his study was undertaken to evaluate the association of </w:t>
      </w:r>
      <w:r w:rsidR="008B0AD9" w:rsidRPr="00FC4618">
        <w:rPr>
          <w:rStyle w:val="apple-converted-space"/>
          <w:sz w:val="16"/>
          <w:szCs w:val="16"/>
          <w:shd w:val="clear" w:color="auto" w:fill="FFFFFF"/>
        </w:rPr>
        <w:t xml:space="preserve">GSTT1 and GSTM1 </w:t>
      </w:r>
      <w:r w:rsidR="008B0AD9" w:rsidRPr="00FC4618">
        <w:rPr>
          <w:bCs/>
          <w:sz w:val="16"/>
          <w:szCs w:val="16"/>
        </w:rPr>
        <w:t>gene</w:t>
      </w:r>
      <w:r w:rsidR="008B0AD9" w:rsidRPr="00FC4618">
        <w:rPr>
          <w:rStyle w:val="apple-converted-space"/>
          <w:sz w:val="16"/>
          <w:szCs w:val="16"/>
          <w:shd w:val="clear" w:color="auto" w:fill="FFFFFF"/>
        </w:rPr>
        <w:t xml:space="preserve"> polymorphisms</w:t>
      </w:r>
      <w:r w:rsidR="008B0AD9" w:rsidRPr="00FC4618">
        <w:rPr>
          <w:sz w:val="16"/>
          <w:szCs w:val="16"/>
        </w:rPr>
        <w:t xml:space="preserve"> with prostate cancer risk in Bangladeshi population. </w:t>
      </w:r>
      <w:r w:rsidR="008B0AD9" w:rsidRPr="00FC4618">
        <w:rPr>
          <w:sz w:val="16"/>
          <w:szCs w:val="16"/>
          <w:lang w:bidi="bn-BD"/>
        </w:rPr>
        <w:t xml:space="preserve">Methodology: </w:t>
      </w:r>
      <w:r w:rsidR="00162C0E" w:rsidRPr="00FC4618">
        <w:rPr>
          <w:sz w:val="16"/>
          <w:szCs w:val="16"/>
          <w:lang w:bidi="bn-BD"/>
        </w:rPr>
        <w:t>T</w:t>
      </w:r>
      <w:r w:rsidR="008B0AD9" w:rsidRPr="00FC4618">
        <w:rPr>
          <w:sz w:val="16"/>
          <w:szCs w:val="16"/>
          <w:lang w:bidi="bn-BD"/>
        </w:rPr>
        <w:t>h</w:t>
      </w:r>
      <w:r w:rsidR="0040410A" w:rsidRPr="00FC4618">
        <w:rPr>
          <w:sz w:val="16"/>
          <w:szCs w:val="16"/>
          <w:lang w:bidi="bn-BD"/>
        </w:rPr>
        <w:t>is case control study included 207</w:t>
      </w:r>
      <w:r w:rsidR="008B0AD9" w:rsidRPr="00FC4618">
        <w:rPr>
          <w:sz w:val="16"/>
          <w:szCs w:val="16"/>
          <w:lang w:bidi="bn-BD"/>
        </w:rPr>
        <w:t xml:space="preserve"> h</w:t>
      </w:r>
      <w:r w:rsidR="008B0AD9" w:rsidRPr="00FC4618">
        <w:rPr>
          <w:sz w:val="16"/>
          <w:szCs w:val="16"/>
        </w:rPr>
        <w:t>istopathologically confirmed cases of prostate cancer had not undergone any ch</w:t>
      </w:r>
      <w:r w:rsidR="0040410A" w:rsidRPr="00FC4618">
        <w:rPr>
          <w:sz w:val="16"/>
          <w:szCs w:val="16"/>
        </w:rPr>
        <w:t>emotherapy or radiotherapy and 2</w:t>
      </w:r>
      <w:r w:rsidR="008B0AD9" w:rsidRPr="00FC4618">
        <w:rPr>
          <w:sz w:val="16"/>
          <w:szCs w:val="16"/>
        </w:rPr>
        <w:t xml:space="preserve">00 age matched healthy controls with same geographical areas &amp; ethnicities. </w:t>
      </w:r>
      <w:r w:rsidR="008B0AD9" w:rsidRPr="00FC4618">
        <w:rPr>
          <w:sz w:val="16"/>
          <w:szCs w:val="16"/>
          <w:lang w:bidi="bn-BD"/>
        </w:rPr>
        <w:t>After t</w:t>
      </w:r>
      <w:r w:rsidR="003D728D" w:rsidRPr="00FC4618">
        <w:rPr>
          <w:sz w:val="16"/>
          <w:szCs w:val="16"/>
          <w:lang w:bidi="bn-BD"/>
        </w:rPr>
        <w:t>aking informed written consent,</w:t>
      </w:r>
      <w:r w:rsidR="008B0AD9" w:rsidRPr="00FC4618">
        <w:rPr>
          <w:sz w:val="16"/>
          <w:szCs w:val="16"/>
          <w:lang w:bidi="bn-BD"/>
        </w:rPr>
        <w:t xml:space="preserve"> 3 ml of venous blood were collected</w:t>
      </w:r>
      <w:r w:rsidR="004B2B40" w:rsidRPr="00FC4618">
        <w:rPr>
          <w:sz w:val="16"/>
          <w:szCs w:val="16"/>
          <w:lang w:bidi="bn-BD"/>
        </w:rPr>
        <w:t xml:space="preserve"> in EDTA vial </w:t>
      </w:r>
      <w:r w:rsidR="008B0AD9" w:rsidRPr="00FC4618">
        <w:rPr>
          <w:sz w:val="16"/>
          <w:szCs w:val="16"/>
          <w:lang w:bidi="bn-BD"/>
        </w:rPr>
        <w:t>with all ascetic precaution from each study subject</w:t>
      </w:r>
      <w:r w:rsidR="00162C0E" w:rsidRPr="00FC4618">
        <w:rPr>
          <w:sz w:val="16"/>
          <w:szCs w:val="16"/>
          <w:lang w:bidi="bn-BD"/>
        </w:rPr>
        <w:t xml:space="preserve">. </w:t>
      </w:r>
      <w:r w:rsidR="00162C0E" w:rsidRPr="00FC4618">
        <w:rPr>
          <w:sz w:val="16"/>
          <w:szCs w:val="16"/>
        </w:rPr>
        <w:t xml:space="preserve">Genomic DNA was extracted from peripheral blood </w:t>
      </w:r>
      <w:r w:rsidR="005A2CFF" w:rsidRPr="00FC4618">
        <w:rPr>
          <w:sz w:val="16"/>
          <w:szCs w:val="16"/>
        </w:rPr>
        <w:t xml:space="preserve">and </w:t>
      </w:r>
      <w:r w:rsidR="008B0AD9" w:rsidRPr="00FC4618">
        <w:rPr>
          <w:rStyle w:val="apple-converted-space"/>
          <w:sz w:val="16"/>
          <w:szCs w:val="16"/>
          <w:shd w:val="clear" w:color="auto" w:fill="FFFFFF"/>
        </w:rPr>
        <w:t xml:space="preserve">GSTT1 and GSTM1 </w:t>
      </w:r>
      <w:r w:rsidR="008B0AD9" w:rsidRPr="00FC4618">
        <w:rPr>
          <w:bCs/>
          <w:sz w:val="16"/>
          <w:szCs w:val="16"/>
        </w:rPr>
        <w:t xml:space="preserve">gene </w:t>
      </w:r>
      <w:r w:rsidR="008B0AD9" w:rsidRPr="00FC4618">
        <w:rPr>
          <w:rStyle w:val="apple-converted-space"/>
          <w:sz w:val="16"/>
          <w:szCs w:val="16"/>
          <w:shd w:val="clear" w:color="auto" w:fill="FFFFFF"/>
        </w:rPr>
        <w:t>polymorphisms</w:t>
      </w:r>
      <w:r w:rsidR="008B0AD9" w:rsidRPr="00FC4618">
        <w:rPr>
          <w:bCs/>
          <w:sz w:val="16"/>
          <w:szCs w:val="16"/>
        </w:rPr>
        <w:t xml:space="preserve"> were analyzed by PCR</w:t>
      </w:r>
      <w:r w:rsidR="00162C0E" w:rsidRPr="00FC4618">
        <w:rPr>
          <w:bCs/>
          <w:sz w:val="16"/>
          <w:szCs w:val="16"/>
        </w:rPr>
        <w:t>.</w:t>
      </w:r>
      <w:r w:rsidR="008B0AD9" w:rsidRPr="00FC4618">
        <w:rPr>
          <w:bCs/>
          <w:sz w:val="16"/>
          <w:szCs w:val="16"/>
        </w:rPr>
        <w:t xml:space="preserve"> </w:t>
      </w:r>
      <w:r w:rsidR="008B0AD9" w:rsidRPr="00FC4618">
        <w:rPr>
          <w:sz w:val="16"/>
          <w:szCs w:val="16"/>
          <w:lang w:bidi="bn-BD"/>
        </w:rPr>
        <w:t xml:space="preserve">All data were plotted in SPSS version 22 and </w:t>
      </w:r>
      <w:r w:rsidR="00C14146" w:rsidRPr="00FC4618">
        <w:rPr>
          <w:sz w:val="16"/>
          <w:szCs w:val="16"/>
          <w:lang w:bidi="bn-BD"/>
        </w:rPr>
        <w:t xml:space="preserve">appropriate </w:t>
      </w:r>
      <w:r w:rsidR="008B0AD9" w:rsidRPr="00FC4618">
        <w:rPr>
          <w:sz w:val="16"/>
          <w:szCs w:val="16"/>
          <w:lang w:bidi="bn-BD"/>
        </w:rPr>
        <w:t xml:space="preserve">statistical analyses were done. Results: </w:t>
      </w:r>
      <w:r w:rsidR="008B0AD9" w:rsidRPr="00FC4618">
        <w:rPr>
          <w:rFonts w:eastAsia="Times New Roman"/>
          <w:sz w:val="16"/>
          <w:szCs w:val="16"/>
        </w:rPr>
        <w:t xml:space="preserve">The frequency of GSTT1 null genotype was </w:t>
      </w:r>
      <w:r w:rsidR="003D728D" w:rsidRPr="00FC4618">
        <w:rPr>
          <w:rFonts w:eastAsia="Times New Roman"/>
          <w:sz w:val="16"/>
          <w:szCs w:val="16"/>
        </w:rPr>
        <w:t xml:space="preserve">found </w:t>
      </w:r>
      <w:r w:rsidR="008B0AD9" w:rsidRPr="00FC4618">
        <w:rPr>
          <w:rFonts w:eastAsia="Times New Roman"/>
          <w:sz w:val="16"/>
          <w:szCs w:val="16"/>
        </w:rPr>
        <w:t>slightly higher in prostate cancer cases than controls</w:t>
      </w:r>
      <w:r w:rsidR="004B2B40" w:rsidRPr="00FC4618">
        <w:rPr>
          <w:rFonts w:eastAsia="Times New Roman"/>
          <w:sz w:val="16"/>
          <w:szCs w:val="16"/>
        </w:rPr>
        <w:t xml:space="preserve"> (30% Vs 22%) with an odd ratio</w:t>
      </w:r>
      <w:r w:rsidR="008B0AD9" w:rsidRPr="00FC4618">
        <w:rPr>
          <w:rFonts w:eastAsia="Times New Roman"/>
          <w:sz w:val="16"/>
          <w:szCs w:val="16"/>
        </w:rPr>
        <w:t xml:space="preserve"> of 1.45, but it was not statistically significant. On the other hand, the frequency of GSTM</w:t>
      </w:r>
      <w:r w:rsidR="008B0AD9" w:rsidRPr="00FC4618">
        <w:rPr>
          <w:rFonts w:eastAsia="Times New Roman"/>
          <w:sz w:val="16"/>
          <w:szCs w:val="16"/>
          <w:lang w:val="nl-NL"/>
        </w:rPr>
        <w:t>1 null genotype</w:t>
      </w:r>
      <w:r w:rsidR="008B0AD9" w:rsidRPr="00FC4618">
        <w:rPr>
          <w:rFonts w:eastAsia="Times New Roman"/>
          <w:sz w:val="16"/>
          <w:szCs w:val="16"/>
        </w:rPr>
        <w:t xml:space="preserve"> was </w:t>
      </w:r>
      <w:r w:rsidR="003D728D" w:rsidRPr="00FC4618">
        <w:rPr>
          <w:rFonts w:eastAsia="Times New Roman"/>
          <w:sz w:val="16"/>
          <w:szCs w:val="16"/>
        </w:rPr>
        <w:t xml:space="preserve">found </w:t>
      </w:r>
      <w:r w:rsidR="008B0AD9" w:rsidRPr="00FC4618">
        <w:rPr>
          <w:rFonts w:eastAsia="Times New Roman"/>
          <w:sz w:val="16"/>
          <w:szCs w:val="16"/>
        </w:rPr>
        <w:t xml:space="preserve">significantly higher </w:t>
      </w:r>
      <w:r w:rsidR="004B2B40" w:rsidRPr="00FC4618">
        <w:rPr>
          <w:rFonts w:eastAsia="Times New Roman"/>
          <w:sz w:val="16"/>
          <w:szCs w:val="16"/>
        </w:rPr>
        <w:t xml:space="preserve">(38% Vs 26%) in prostate cancer cases than controls with an odd ratio </w:t>
      </w:r>
      <w:r w:rsidR="007D2823" w:rsidRPr="00FC4618">
        <w:rPr>
          <w:rFonts w:eastAsia="Times New Roman"/>
          <w:sz w:val="16"/>
          <w:szCs w:val="16"/>
        </w:rPr>
        <w:t>of 1.71</w:t>
      </w:r>
      <w:r w:rsidR="008B0AD9" w:rsidRPr="00FC4618">
        <w:rPr>
          <w:rFonts w:eastAsia="Times New Roman"/>
          <w:sz w:val="16"/>
          <w:szCs w:val="16"/>
        </w:rPr>
        <w:t xml:space="preserve">. </w:t>
      </w:r>
      <w:r w:rsidR="00D55749" w:rsidRPr="00FC4618">
        <w:rPr>
          <w:rFonts w:eastAsia="Times New Roman"/>
          <w:sz w:val="16"/>
          <w:szCs w:val="16"/>
        </w:rPr>
        <w:t>Presence of</w:t>
      </w:r>
      <w:r w:rsidR="008B0AD9" w:rsidRPr="00FC4618">
        <w:rPr>
          <w:rFonts w:eastAsia="Times New Roman"/>
          <w:sz w:val="16"/>
          <w:szCs w:val="16"/>
        </w:rPr>
        <w:t xml:space="preserve"> combined genotype GSTT1 (null) / GSTM1 (null) showed highly significant association with prostate cancer risk and the risk increased 5.75 fold, compared to normal genotype for GSTT1 &amp; GSTM1. </w:t>
      </w:r>
      <w:r w:rsidR="008B0AD9" w:rsidRPr="00FC4618">
        <w:rPr>
          <w:sz w:val="16"/>
          <w:szCs w:val="16"/>
          <w:lang w:bidi="bn-BD"/>
        </w:rPr>
        <w:t xml:space="preserve">Conclusion: </w:t>
      </w:r>
      <w:r w:rsidR="008B0AD9" w:rsidRPr="00FC4618">
        <w:rPr>
          <w:rFonts w:eastAsia="Times New Roman"/>
          <w:sz w:val="16"/>
          <w:szCs w:val="16"/>
        </w:rPr>
        <w:t>A significant association of GSTM</w:t>
      </w:r>
      <w:r w:rsidR="008B0AD9" w:rsidRPr="00FC4618">
        <w:rPr>
          <w:rFonts w:eastAsia="Times New Roman"/>
          <w:sz w:val="16"/>
          <w:szCs w:val="16"/>
          <w:lang w:val="nl-NL"/>
        </w:rPr>
        <w:t>1 null genotype</w:t>
      </w:r>
      <w:r w:rsidR="008B0AD9" w:rsidRPr="00FC4618">
        <w:rPr>
          <w:rFonts w:eastAsia="Times New Roman"/>
          <w:sz w:val="16"/>
          <w:szCs w:val="16"/>
        </w:rPr>
        <w:t xml:space="preserve"> was found with prostate cancer </w:t>
      </w:r>
      <w:r w:rsidR="00D55749" w:rsidRPr="00FC4618">
        <w:rPr>
          <w:rFonts w:eastAsia="Times New Roman"/>
          <w:sz w:val="16"/>
          <w:szCs w:val="16"/>
        </w:rPr>
        <w:t>in Bangladeshi population</w:t>
      </w:r>
      <w:r w:rsidR="008B0AD9" w:rsidRPr="00FC4618">
        <w:rPr>
          <w:rFonts w:eastAsia="Times New Roman"/>
          <w:sz w:val="16"/>
          <w:szCs w:val="16"/>
        </w:rPr>
        <w:t xml:space="preserve">. </w:t>
      </w:r>
      <w:r w:rsidR="00D55749" w:rsidRPr="00FC4618">
        <w:rPr>
          <w:rFonts w:eastAsia="Times New Roman"/>
          <w:sz w:val="16"/>
          <w:szCs w:val="16"/>
        </w:rPr>
        <w:t>Moreover, presence of t</w:t>
      </w:r>
      <w:r w:rsidR="008B0AD9" w:rsidRPr="00FC4618">
        <w:rPr>
          <w:rFonts w:eastAsia="Times New Roman"/>
          <w:sz w:val="16"/>
          <w:szCs w:val="16"/>
        </w:rPr>
        <w:t xml:space="preserve">he combined genotype GSTT1 (null) / GSTM1 (null) showed </w:t>
      </w:r>
      <w:r w:rsidR="00D55749" w:rsidRPr="00FC4618">
        <w:rPr>
          <w:rFonts w:eastAsia="Times New Roman"/>
          <w:sz w:val="16"/>
          <w:szCs w:val="16"/>
        </w:rPr>
        <w:t>significantly higher</w:t>
      </w:r>
      <w:r w:rsidR="008B0AD9" w:rsidRPr="00FC4618">
        <w:rPr>
          <w:rFonts w:eastAsia="Times New Roman"/>
          <w:sz w:val="16"/>
          <w:szCs w:val="16"/>
        </w:rPr>
        <w:t xml:space="preserve"> </w:t>
      </w:r>
      <w:r w:rsidR="00D55749" w:rsidRPr="00FC4618">
        <w:rPr>
          <w:rFonts w:eastAsia="Times New Roman"/>
          <w:sz w:val="16"/>
          <w:szCs w:val="16"/>
        </w:rPr>
        <w:t xml:space="preserve">risk for development of </w:t>
      </w:r>
      <w:r w:rsidR="008B0AD9" w:rsidRPr="00FC4618">
        <w:rPr>
          <w:rFonts w:eastAsia="Times New Roman"/>
          <w:sz w:val="16"/>
          <w:szCs w:val="16"/>
        </w:rPr>
        <w:t>prostate cancer</w:t>
      </w:r>
      <w:r w:rsidR="00D55749" w:rsidRPr="00FC4618">
        <w:rPr>
          <w:rFonts w:eastAsia="Times New Roman"/>
          <w:sz w:val="16"/>
          <w:szCs w:val="16"/>
        </w:rPr>
        <w:t>.</w:t>
      </w:r>
    </w:p>
    <w:p w:rsidR="002F4397" w:rsidRPr="00FC4618" w:rsidRDefault="002F4397" w:rsidP="005A2CFF">
      <w:pPr>
        <w:pStyle w:val="Default"/>
        <w:spacing w:line="360" w:lineRule="auto"/>
        <w:jc w:val="both"/>
        <w:rPr>
          <w:sz w:val="16"/>
          <w:szCs w:val="16"/>
        </w:rPr>
      </w:pPr>
    </w:p>
    <w:p w:rsidR="007E02F4" w:rsidRPr="00FC4618" w:rsidRDefault="009F4638" w:rsidP="007E02F4">
      <w:pPr>
        <w:pStyle w:val="Heading3"/>
        <w:spacing w:before="74"/>
        <w:rPr>
          <w:rFonts w:ascii="Times New Roman" w:hAnsi="Times New Roman" w:cs="Times New Roman"/>
          <w:color w:val="BF5A14"/>
          <w:sz w:val="16"/>
          <w:szCs w:val="16"/>
        </w:rPr>
      </w:pPr>
      <w:r w:rsidRPr="00FC4618">
        <w:rPr>
          <w:rFonts w:ascii="Times New Roman" w:hAnsi="Times New Roman" w:cs="Times New Roman"/>
          <w:noProof/>
          <w:color w:val="BF5A14"/>
          <w:sz w:val="16"/>
          <w:szCs w:val="1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40.95pt;margin-top:3pt;width:248.05pt;height:146.35pt;z-index:251661312">
            <v:textbox style="mso-next-textbox:#_x0000_s1029">
              <w:txbxContent>
                <w:p w:rsidR="00E453F5" w:rsidRPr="00E453F5" w:rsidRDefault="00E453F5" w:rsidP="00E453F5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</w:p>
                <w:p w:rsidR="00E453F5" w:rsidRPr="001915C4" w:rsidRDefault="00FC4618" w:rsidP="00E453F5">
                  <w:pPr>
                    <w:rPr>
                      <w:rFonts w:ascii="Times New Roman" w:hAnsi="Times New Roman" w:cs="Times New Roman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14"/>
                      <w:szCs w:val="14"/>
                    </w:rPr>
                    <w:t>Table 1</w:t>
                  </w:r>
                  <w:r w:rsidR="00E453F5" w:rsidRPr="001915C4">
                    <w:rPr>
                      <w:rFonts w:ascii="Times New Roman" w:hAnsi="Times New Roman" w:cs="Times New Roman"/>
                      <w:b/>
                      <w:bCs/>
                      <w:sz w:val="14"/>
                      <w:szCs w:val="14"/>
                    </w:rPr>
                    <w:t>: Distribution of GSTT1 &amp; GSTM1 genotype in the study subject</w:t>
                  </w:r>
                </w:p>
                <w:tbl>
                  <w:tblPr>
                    <w:tblStyle w:val="LightShading1"/>
                    <w:tblW w:w="4788" w:type="dxa"/>
                    <w:shd w:val="clear" w:color="auto" w:fill="FFFFFF" w:themeFill="background1"/>
                    <w:tblLayout w:type="fixed"/>
                    <w:tblLook w:val="04A0"/>
                  </w:tblPr>
                  <w:tblGrid>
                    <w:gridCol w:w="1188"/>
                    <w:gridCol w:w="1170"/>
                    <w:gridCol w:w="990"/>
                    <w:gridCol w:w="1440"/>
                  </w:tblGrid>
                  <w:tr w:rsidR="00E453F5" w:rsidRPr="001915C4" w:rsidTr="001915C4">
                    <w:trPr>
                      <w:cnfStyle w:val="100000000000"/>
                      <w:trHeight w:val="315"/>
                    </w:trPr>
                    <w:tc>
                      <w:tcPr>
                        <w:cnfStyle w:val="001000000000"/>
                        <w:tcW w:w="1188" w:type="dxa"/>
                        <w:tcBorders>
                          <w:top w:val="double" w:sz="4" w:space="0" w:color="auto"/>
                          <w:bottom w:val="double" w:sz="4" w:space="0" w:color="auto"/>
                        </w:tcBorders>
                        <w:shd w:val="clear" w:color="auto" w:fill="FFFFFF" w:themeFill="background1"/>
                      </w:tcPr>
                      <w:p w:rsidR="00E453F5" w:rsidRPr="001915C4" w:rsidRDefault="00E453F5" w:rsidP="000C2B82">
                        <w:pPr>
                          <w:pStyle w:val="Body"/>
                          <w:rPr>
                            <w:rFonts w:ascii="Times New Roman" w:hAnsi="Times New Roman" w:cs="Times New Roman"/>
                            <w:b w:val="0"/>
                            <w:sz w:val="12"/>
                            <w:szCs w:val="12"/>
                          </w:rPr>
                        </w:pPr>
                        <w:r w:rsidRPr="001915C4">
                          <w:rPr>
                            <w:rFonts w:ascii="Times New Roman" w:hAnsi="Times New Roman" w:cs="Times New Roman"/>
                            <w:b w:val="0"/>
                            <w:sz w:val="12"/>
                            <w:szCs w:val="12"/>
                          </w:rPr>
                          <w:t>Study subjects (n=407)</w:t>
                        </w:r>
                      </w:p>
                    </w:tc>
                    <w:tc>
                      <w:tcPr>
                        <w:tcW w:w="1170" w:type="dxa"/>
                        <w:tcBorders>
                          <w:top w:val="double" w:sz="4" w:space="0" w:color="auto"/>
                          <w:bottom w:val="double" w:sz="4" w:space="0" w:color="auto"/>
                        </w:tcBorders>
                        <w:shd w:val="clear" w:color="auto" w:fill="FFFFFF" w:themeFill="background1"/>
                      </w:tcPr>
                      <w:p w:rsidR="00E453F5" w:rsidRPr="001915C4" w:rsidRDefault="00E453F5" w:rsidP="00E453F5">
                        <w:pPr>
                          <w:pStyle w:val="Body"/>
                          <w:jc w:val="center"/>
                          <w:cnfStyle w:val="100000000000"/>
                          <w:rPr>
                            <w:rFonts w:ascii="Times New Roman" w:hAnsi="Times New Roman" w:cs="Times New Roman"/>
                            <w:b w:val="0"/>
                            <w:sz w:val="12"/>
                            <w:szCs w:val="12"/>
                          </w:rPr>
                        </w:pPr>
                        <w:r w:rsidRPr="001915C4">
                          <w:rPr>
                            <w:rFonts w:ascii="Times New Roman" w:hAnsi="Times New Roman" w:cs="Times New Roman"/>
                            <w:b w:val="0"/>
                            <w:sz w:val="12"/>
                            <w:szCs w:val="12"/>
                          </w:rPr>
                          <w:t xml:space="preserve">         Genotype</w:t>
                        </w:r>
                      </w:p>
                    </w:tc>
                    <w:tc>
                      <w:tcPr>
                        <w:tcW w:w="990" w:type="dxa"/>
                        <w:tcBorders>
                          <w:top w:val="double" w:sz="4" w:space="0" w:color="auto"/>
                          <w:bottom w:val="double" w:sz="4" w:space="0" w:color="auto"/>
                        </w:tcBorders>
                        <w:shd w:val="clear" w:color="auto" w:fill="FFFFFF" w:themeFill="background1"/>
                      </w:tcPr>
                      <w:p w:rsidR="00E453F5" w:rsidRPr="001915C4" w:rsidRDefault="00E453F5" w:rsidP="000C2B82">
                        <w:pPr>
                          <w:pStyle w:val="Body"/>
                          <w:cnfStyle w:val="100000000000"/>
                          <w:rPr>
                            <w:rFonts w:ascii="Times New Roman" w:hAnsi="Times New Roman" w:cs="Times New Roman"/>
                            <w:b w:val="0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1440" w:type="dxa"/>
                        <w:tcBorders>
                          <w:top w:val="double" w:sz="4" w:space="0" w:color="auto"/>
                          <w:bottom w:val="double" w:sz="4" w:space="0" w:color="auto"/>
                        </w:tcBorders>
                        <w:shd w:val="clear" w:color="auto" w:fill="FFFFFF" w:themeFill="background1"/>
                      </w:tcPr>
                      <w:p w:rsidR="00E453F5" w:rsidRPr="001915C4" w:rsidRDefault="00E453F5" w:rsidP="000C2B82">
                        <w:pPr>
                          <w:pStyle w:val="Body"/>
                          <w:ind w:left="-108"/>
                          <w:cnfStyle w:val="100000000000"/>
                          <w:rPr>
                            <w:rFonts w:ascii="Times New Roman" w:hAnsi="Times New Roman" w:cs="Times New Roman"/>
                            <w:b w:val="0"/>
                            <w:sz w:val="12"/>
                            <w:szCs w:val="12"/>
                          </w:rPr>
                        </w:pPr>
                        <w:r w:rsidRPr="001915C4">
                          <w:rPr>
                            <w:rFonts w:ascii="Times New Roman" w:hAnsi="Times New Roman" w:cs="Times New Roman"/>
                            <w:b w:val="0"/>
                            <w:sz w:val="12"/>
                            <w:szCs w:val="12"/>
                          </w:rPr>
                          <w:t xml:space="preserve">Risk </w:t>
                        </w:r>
                      </w:p>
                      <w:p w:rsidR="00E453F5" w:rsidRPr="001915C4" w:rsidRDefault="00E453F5" w:rsidP="000C2B82">
                        <w:pPr>
                          <w:pStyle w:val="Body"/>
                          <w:ind w:left="-108"/>
                          <w:cnfStyle w:val="100000000000"/>
                          <w:rPr>
                            <w:rFonts w:ascii="Times New Roman" w:hAnsi="Times New Roman" w:cs="Times New Roman"/>
                            <w:b w:val="0"/>
                            <w:sz w:val="12"/>
                            <w:szCs w:val="12"/>
                          </w:rPr>
                        </w:pPr>
                        <w:r w:rsidRPr="001915C4">
                          <w:rPr>
                            <w:rFonts w:ascii="Times New Roman" w:hAnsi="Times New Roman" w:cs="Times New Roman"/>
                            <w:b w:val="0"/>
                            <w:sz w:val="12"/>
                            <w:szCs w:val="12"/>
                          </w:rPr>
                          <w:t>OR(95%CI)</w:t>
                        </w:r>
                      </w:p>
                    </w:tc>
                  </w:tr>
                  <w:tr w:rsidR="00E453F5" w:rsidRPr="001915C4" w:rsidTr="001915C4">
                    <w:trPr>
                      <w:cnfStyle w:val="000000100000"/>
                      <w:trHeight w:val="558"/>
                    </w:trPr>
                    <w:tc>
                      <w:tcPr>
                        <w:cnfStyle w:val="001000000000"/>
                        <w:tcW w:w="1188" w:type="dxa"/>
                        <w:vMerge w:val="restart"/>
                        <w:tcBorders>
                          <w:top w:val="double" w:sz="4" w:space="0" w:color="auto"/>
                        </w:tcBorders>
                        <w:shd w:val="clear" w:color="auto" w:fill="FFFFFF" w:themeFill="background1"/>
                      </w:tcPr>
                      <w:p w:rsidR="00E453F5" w:rsidRPr="001915C4" w:rsidRDefault="00E453F5" w:rsidP="000C2B82">
                        <w:pPr>
                          <w:pStyle w:val="Body"/>
                          <w:rPr>
                            <w:rFonts w:ascii="Times New Roman" w:hAnsi="Times New Roman" w:cs="Times New Roman"/>
                            <w:b w:val="0"/>
                            <w:sz w:val="12"/>
                            <w:szCs w:val="12"/>
                          </w:rPr>
                        </w:pPr>
                        <w:r w:rsidRPr="001915C4">
                          <w:rPr>
                            <w:rFonts w:ascii="Times New Roman" w:hAnsi="Times New Roman" w:cs="Times New Roman"/>
                            <w:b w:val="0"/>
                            <w:sz w:val="12"/>
                            <w:szCs w:val="12"/>
                          </w:rPr>
                          <w:t xml:space="preserve"> </w:t>
                        </w:r>
                      </w:p>
                      <w:p w:rsidR="00E453F5" w:rsidRPr="001915C4" w:rsidRDefault="00E453F5" w:rsidP="000C2B82">
                        <w:pPr>
                          <w:pStyle w:val="Body"/>
                          <w:rPr>
                            <w:rFonts w:ascii="Times New Roman" w:hAnsi="Times New Roman" w:cs="Times New Roman"/>
                            <w:b w:val="0"/>
                            <w:sz w:val="12"/>
                            <w:szCs w:val="12"/>
                          </w:rPr>
                        </w:pPr>
                      </w:p>
                      <w:p w:rsidR="00E453F5" w:rsidRPr="001915C4" w:rsidRDefault="00E453F5" w:rsidP="000C2B82">
                        <w:pPr>
                          <w:pStyle w:val="Body"/>
                          <w:rPr>
                            <w:rFonts w:ascii="Times New Roman" w:hAnsi="Times New Roman" w:cs="Times New Roman"/>
                            <w:b w:val="0"/>
                            <w:sz w:val="12"/>
                            <w:szCs w:val="12"/>
                          </w:rPr>
                        </w:pPr>
                        <w:r w:rsidRPr="001915C4">
                          <w:rPr>
                            <w:rFonts w:ascii="Times New Roman" w:hAnsi="Times New Roman" w:cs="Times New Roman"/>
                            <w:b w:val="0"/>
                            <w:sz w:val="12"/>
                            <w:szCs w:val="12"/>
                          </w:rPr>
                          <w:t xml:space="preserve">Controls (n=200) </w:t>
                        </w:r>
                      </w:p>
                      <w:p w:rsidR="00E453F5" w:rsidRPr="001915C4" w:rsidRDefault="00E453F5" w:rsidP="000C2B82">
                        <w:pPr>
                          <w:pStyle w:val="Body"/>
                          <w:rPr>
                            <w:rFonts w:ascii="Times New Roman" w:hAnsi="Times New Roman" w:cs="Times New Roman"/>
                            <w:b w:val="0"/>
                            <w:sz w:val="12"/>
                            <w:szCs w:val="12"/>
                          </w:rPr>
                        </w:pPr>
                      </w:p>
                      <w:p w:rsidR="00E453F5" w:rsidRPr="001915C4" w:rsidRDefault="00E453F5" w:rsidP="000C2B82">
                        <w:pPr>
                          <w:pStyle w:val="Body"/>
                          <w:rPr>
                            <w:rFonts w:ascii="Times New Roman" w:hAnsi="Times New Roman" w:cs="Times New Roman"/>
                            <w:b w:val="0"/>
                            <w:sz w:val="12"/>
                            <w:szCs w:val="12"/>
                          </w:rPr>
                        </w:pPr>
                        <w:r w:rsidRPr="001915C4">
                          <w:rPr>
                            <w:rFonts w:ascii="Times New Roman" w:hAnsi="Times New Roman" w:cs="Times New Roman"/>
                            <w:b w:val="0"/>
                            <w:sz w:val="12"/>
                            <w:szCs w:val="12"/>
                          </w:rPr>
                          <w:t xml:space="preserve"> Cases (n=207) </w:t>
                        </w:r>
                      </w:p>
                    </w:tc>
                    <w:tc>
                      <w:tcPr>
                        <w:tcW w:w="1170" w:type="dxa"/>
                        <w:tcBorders>
                          <w:top w:val="double" w:sz="4" w:space="0" w:color="auto"/>
                        </w:tcBorders>
                        <w:shd w:val="clear" w:color="auto" w:fill="FFFFFF" w:themeFill="background1"/>
                      </w:tcPr>
                      <w:p w:rsidR="00E453F5" w:rsidRPr="001915C4" w:rsidRDefault="00E453F5" w:rsidP="000C2B82">
                        <w:pPr>
                          <w:pStyle w:val="Body"/>
                          <w:ind w:left="-108"/>
                          <w:cnfStyle w:val="000000100000"/>
                          <w:rPr>
                            <w:rFonts w:ascii="Times New Roman" w:hAnsi="Times New Roman" w:cs="Times New Roman"/>
                            <w:sz w:val="12"/>
                            <w:szCs w:val="12"/>
                          </w:rPr>
                        </w:pPr>
                        <w:r w:rsidRPr="001915C4">
                          <w:rPr>
                            <w:rFonts w:ascii="Times New Roman" w:hAnsi="Times New Roman" w:cs="Times New Roman"/>
                            <w:sz w:val="12"/>
                            <w:szCs w:val="12"/>
                          </w:rPr>
                          <w:t>GSTT1 Positive</w:t>
                        </w:r>
                      </w:p>
                      <w:p w:rsidR="00E453F5" w:rsidRPr="001915C4" w:rsidRDefault="00E453F5" w:rsidP="000C2B82">
                        <w:pPr>
                          <w:pStyle w:val="Body"/>
                          <w:ind w:left="-108"/>
                          <w:cnfStyle w:val="000000100000"/>
                          <w:rPr>
                            <w:rFonts w:ascii="Times New Roman" w:hAnsi="Times New Roman" w:cs="Times New Roman"/>
                            <w:sz w:val="12"/>
                            <w:szCs w:val="12"/>
                          </w:rPr>
                        </w:pPr>
                        <w:r w:rsidRPr="001915C4">
                          <w:rPr>
                            <w:rFonts w:ascii="Times New Roman" w:hAnsi="Times New Roman" w:cs="Times New Roman"/>
                            <w:sz w:val="12"/>
                            <w:szCs w:val="12"/>
                          </w:rPr>
                          <w:t>n(%)</w:t>
                        </w:r>
                      </w:p>
                      <w:p w:rsidR="00E453F5" w:rsidRPr="001915C4" w:rsidRDefault="00E453F5" w:rsidP="000C2B82">
                        <w:pPr>
                          <w:pStyle w:val="Body"/>
                          <w:ind w:left="-108"/>
                          <w:cnfStyle w:val="000000100000"/>
                          <w:rPr>
                            <w:rFonts w:ascii="Times New Roman" w:hAnsi="Times New Roman" w:cs="Times New Roman"/>
                            <w:sz w:val="12"/>
                            <w:szCs w:val="12"/>
                          </w:rPr>
                        </w:pPr>
                        <w:r w:rsidRPr="001915C4">
                          <w:rPr>
                            <w:rFonts w:ascii="Times New Roman" w:hAnsi="Times New Roman" w:cs="Times New Roman"/>
                            <w:sz w:val="12"/>
                            <w:szCs w:val="12"/>
                          </w:rPr>
                          <w:t>155 (77.5%)</w:t>
                        </w:r>
                      </w:p>
                      <w:p w:rsidR="00E453F5" w:rsidRPr="001915C4" w:rsidRDefault="00E453F5" w:rsidP="000C2B82">
                        <w:pPr>
                          <w:pStyle w:val="Body"/>
                          <w:ind w:left="-198"/>
                          <w:cnfStyle w:val="000000100000"/>
                          <w:rPr>
                            <w:rFonts w:ascii="Times New Roman" w:hAnsi="Times New Roman" w:cs="Times New Roman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990" w:type="dxa"/>
                        <w:tcBorders>
                          <w:top w:val="double" w:sz="4" w:space="0" w:color="auto"/>
                        </w:tcBorders>
                        <w:shd w:val="clear" w:color="auto" w:fill="FFFFFF" w:themeFill="background1"/>
                      </w:tcPr>
                      <w:p w:rsidR="00E453F5" w:rsidRPr="001915C4" w:rsidRDefault="00E453F5" w:rsidP="000C2B82">
                        <w:pPr>
                          <w:pStyle w:val="Body"/>
                          <w:ind w:left="-108"/>
                          <w:cnfStyle w:val="000000100000"/>
                          <w:rPr>
                            <w:rFonts w:ascii="Times New Roman" w:hAnsi="Times New Roman" w:cs="Times New Roman"/>
                            <w:sz w:val="12"/>
                            <w:szCs w:val="12"/>
                          </w:rPr>
                        </w:pPr>
                        <w:r w:rsidRPr="001915C4">
                          <w:rPr>
                            <w:rFonts w:ascii="Times New Roman" w:hAnsi="Times New Roman" w:cs="Times New Roman"/>
                            <w:sz w:val="12"/>
                            <w:szCs w:val="12"/>
                          </w:rPr>
                          <w:t>GSTT1 Null</w:t>
                        </w:r>
                      </w:p>
                      <w:p w:rsidR="00E453F5" w:rsidRPr="001915C4" w:rsidRDefault="00E453F5" w:rsidP="000C2B82">
                        <w:pPr>
                          <w:pStyle w:val="Body"/>
                          <w:ind w:left="-108"/>
                          <w:cnfStyle w:val="000000100000"/>
                          <w:rPr>
                            <w:rFonts w:ascii="Times New Roman" w:hAnsi="Times New Roman" w:cs="Times New Roman"/>
                            <w:sz w:val="12"/>
                            <w:szCs w:val="12"/>
                          </w:rPr>
                        </w:pPr>
                        <w:r w:rsidRPr="001915C4">
                          <w:rPr>
                            <w:rFonts w:ascii="Times New Roman" w:hAnsi="Times New Roman" w:cs="Times New Roman"/>
                            <w:sz w:val="12"/>
                            <w:szCs w:val="12"/>
                          </w:rPr>
                          <w:t>n(%)</w:t>
                        </w:r>
                      </w:p>
                      <w:p w:rsidR="00E453F5" w:rsidRPr="001915C4" w:rsidRDefault="00E453F5" w:rsidP="000C2B82">
                        <w:pPr>
                          <w:pStyle w:val="Body"/>
                          <w:ind w:left="-108"/>
                          <w:cnfStyle w:val="000000100000"/>
                          <w:rPr>
                            <w:rFonts w:ascii="Times New Roman" w:hAnsi="Times New Roman" w:cs="Times New Roman"/>
                            <w:sz w:val="12"/>
                            <w:szCs w:val="12"/>
                          </w:rPr>
                        </w:pPr>
                        <w:r w:rsidRPr="001915C4">
                          <w:rPr>
                            <w:rFonts w:ascii="Times New Roman" w:hAnsi="Times New Roman" w:cs="Times New Roman"/>
                            <w:sz w:val="12"/>
                            <w:szCs w:val="12"/>
                          </w:rPr>
                          <w:t>45 (22.5%)</w:t>
                        </w:r>
                      </w:p>
                      <w:p w:rsidR="00E453F5" w:rsidRPr="001915C4" w:rsidRDefault="00E453F5" w:rsidP="000C2B82">
                        <w:pPr>
                          <w:pStyle w:val="Body"/>
                          <w:ind w:left="-108"/>
                          <w:cnfStyle w:val="000000100000"/>
                          <w:rPr>
                            <w:rFonts w:ascii="Times New Roman" w:hAnsi="Times New Roman" w:cs="Times New Roman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1440" w:type="dxa"/>
                        <w:vMerge w:val="restart"/>
                        <w:tcBorders>
                          <w:top w:val="double" w:sz="4" w:space="0" w:color="auto"/>
                        </w:tcBorders>
                        <w:shd w:val="clear" w:color="auto" w:fill="FFFFFF" w:themeFill="background1"/>
                      </w:tcPr>
                      <w:p w:rsidR="00E453F5" w:rsidRPr="001915C4" w:rsidRDefault="00E453F5" w:rsidP="000C2B82">
                        <w:pPr>
                          <w:pStyle w:val="Body"/>
                          <w:cnfStyle w:val="000000100000"/>
                          <w:rPr>
                            <w:rFonts w:ascii="Times New Roman" w:hAnsi="Times New Roman" w:cs="Times New Roman"/>
                            <w:sz w:val="12"/>
                            <w:szCs w:val="12"/>
                          </w:rPr>
                        </w:pPr>
                      </w:p>
                      <w:p w:rsidR="00E453F5" w:rsidRPr="001915C4" w:rsidRDefault="00E453F5" w:rsidP="000C2B82">
                        <w:pPr>
                          <w:pStyle w:val="Body"/>
                          <w:cnfStyle w:val="000000100000"/>
                          <w:rPr>
                            <w:rFonts w:ascii="Times New Roman" w:hAnsi="Times New Roman" w:cs="Times New Roman"/>
                            <w:sz w:val="12"/>
                            <w:szCs w:val="12"/>
                          </w:rPr>
                        </w:pPr>
                      </w:p>
                      <w:p w:rsidR="00E453F5" w:rsidRPr="001915C4" w:rsidRDefault="00E453F5" w:rsidP="000C2B82">
                        <w:pPr>
                          <w:pStyle w:val="Body"/>
                          <w:cnfStyle w:val="000000100000"/>
                          <w:rPr>
                            <w:rFonts w:ascii="Times New Roman" w:hAnsi="Times New Roman" w:cs="Times New Roman"/>
                            <w:sz w:val="12"/>
                            <w:szCs w:val="12"/>
                          </w:rPr>
                        </w:pPr>
                        <w:r w:rsidRPr="001915C4">
                          <w:rPr>
                            <w:rFonts w:ascii="Times New Roman" w:hAnsi="Times New Roman" w:cs="Times New Roman"/>
                            <w:sz w:val="12"/>
                            <w:szCs w:val="12"/>
                          </w:rPr>
                          <w:t>1 (Ref)</w:t>
                        </w:r>
                      </w:p>
                      <w:p w:rsidR="00E453F5" w:rsidRPr="001915C4" w:rsidRDefault="00E453F5" w:rsidP="000C2B82">
                        <w:pPr>
                          <w:pStyle w:val="Body"/>
                          <w:cnfStyle w:val="000000100000"/>
                          <w:rPr>
                            <w:rFonts w:ascii="Times New Roman" w:hAnsi="Times New Roman" w:cs="Times New Roman"/>
                            <w:sz w:val="12"/>
                            <w:szCs w:val="12"/>
                          </w:rPr>
                        </w:pPr>
                      </w:p>
                      <w:p w:rsidR="00E453F5" w:rsidRPr="001915C4" w:rsidRDefault="00E453F5" w:rsidP="000C2B82">
                        <w:pPr>
                          <w:pStyle w:val="Body"/>
                          <w:cnfStyle w:val="000000100000"/>
                          <w:rPr>
                            <w:rFonts w:ascii="Times New Roman" w:hAnsi="Times New Roman" w:cs="Times New Roman"/>
                            <w:sz w:val="12"/>
                            <w:szCs w:val="12"/>
                          </w:rPr>
                        </w:pPr>
                        <w:r w:rsidRPr="001915C4">
                          <w:rPr>
                            <w:rFonts w:ascii="Times New Roman" w:hAnsi="Times New Roman" w:cs="Times New Roman"/>
                            <w:sz w:val="12"/>
                            <w:szCs w:val="12"/>
                          </w:rPr>
                          <w:t>1.45 (0.93-2.28)</w:t>
                        </w:r>
                        <w:r w:rsidRPr="001915C4">
                          <w:rPr>
                            <w:rFonts w:ascii="Times New Roman" w:hAnsi="Times New Roman" w:cs="Times New Roman"/>
                            <w:sz w:val="12"/>
                            <w:szCs w:val="12"/>
                            <w:vertAlign w:val="superscript"/>
                          </w:rPr>
                          <w:t>ns</w:t>
                        </w:r>
                      </w:p>
                    </w:tc>
                  </w:tr>
                  <w:tr w:rsidR="00E453F5" w:rsidRPr="001915C4" w:rsidTr="001915C4">
                    <w:trPr>
                      <w:trHeight w:val="138"/>
                    </w:trPr>
                    <w:tc>
                      <w:tcPr>
                        <w:cnfStyle w:val="001000000000"/>
                        <w:tcW w:w="1188" w:type="dxa"/>
                        <w:vMerge/>
                        <w:tcBorders>
                          <w:left w:val="nil"/>
                          <w:bottom w:val="nil"/>
                        </w:tcBorders>
                        <w:shd w:val="clear" w:color="auto" w:fill="FFFFFF" w:themeFill="background1"/>
                      </w:tcPr>
                      <w:p w:rsidR="00E453F5" w:rsidRPr="001915C4" w:rsidRDefault="00E453F5" w:rsidP="000C2B82">
                        <w:pPr>
                          <w:rPr>
                            <w:rFonts w:ascii="Times New Roman" w:hAnsi="Times New Roman" w:cs="Times New Roman"/>
                            <w:b w:val="0"/>
                            <w:sz w:val="12"/>
                            <w:szCs w:val="12"/>
                          </w:rPr>
                        </w:pPr>
                      </w:p>
                    </w:tc>
                    <w:tc>
                      <w:tcPr>
                        <w:tcW w:w="1170" w:type="dxa"/>
                        <w:tcBorders>
                          <w:bottom w:val="nil"/>
                        </w:tcBorders>
                        <w:shd w:val="clear" w:color="auto" w:fill="FFFFFF" w:themeFill="background1"/>
                      </w:tcPr>
                      <w:p w:rsidR="00E453F5" w:rsidRPr="001915C4" w:rsidRDefault="00E453F5" w:rsidP="000C2B82">
                        <w:pPr>
                          <w:pStyle w:val="Body"/>
                          <w:ind w:left="-198"/>
                          <w:cnfStyle w:val="000000000000"/>
                          <w:rPr>
                            <w:rFonts w:ascii="Times New Roman" w:hAnsi="Times New Roman" w:cs="Times New Roman"/>
                            <w:sz w:val="12"/>
                            <w:szCs w:val="12"/>
                          </w:rPr>
                        </w:pPr>
                        <w:r w:rsidRPr="001915C4">
                          <w:rPr>
                            <w:rFonts w:ascii="Times New Roman" w:hAnsi="Times New Roman" w:cs="Times New Roman"/>
                            <w:sz w:val="12"/>
                            <w:szCs w:val="12"/>
                          </w:rPr>
                          <w:t>1</w:t>
                        </w:r>
                        <w:r w:rsidR="001915C4">
                          <w:rPr>
                            <w:rFonts w:ascii="Times New Roman" w:hAnsi="Times New Roman" w:cs="Times New Roman"/>
                            <w:sz w:val="12"/>
                            <w:szCs w:val="12"/>
                          </w:rPr>
                          <w:t xml:space="preserve"> </w:t>
                        </w:r>
                        <w:r w:rsidRPr="001915C4">
                          <w:rPr>
                            <w:rFonts w:ascii="Times New Roman" w:hAnsi="Times New Roman" w:cs="Times New Roman"/>
                            <w:sz w:val="12"/>
                            <w:szCs w:val="12"/>
                          </w:rPr>
                          <w:t>45 (70.0%</w:t>
                        </w:r>
                        <w:r w:rsidR="001915C4">
                          <w:rPr>
                            <w:rFonts w:ascii="Times New Roman" w:hAnsi="Times New Roman" w:cs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990" w:type="dxa"/>
                        <w:tcBorders>
                          <w:bottom w:val="nil"/>
                        </w:tcBorders>
                        <w:shd w:val="clear" w:color="auto" w:fill="FFFFFF" w:themeFill="background1"/>
                      </w:tcPr>
                      <w:p w:rsidR="00E453F5" w:rsidRPr="001915C4" w:rsidRDefault="00E453F5" w:rsidP="000C2B82">
                        <w:pPr>
                          <w:pStyle w:val="Body"/>
                          <w:ind w:left="-108"/>
                          <w:cnfStyle w:val="000000000000"/>
                          <w:rPr>
                            <w:rFonts w:ascii="Times New Roman" w:hAnsi="Times New Roman" w:cs="Times New Roman"/>
                            <w:sz w:val="12"/>
                            <w:szCs w:val="12"/>
                          </w:rPr>
                        </w:pPr>
                        <w:r w:rsidRPr="001915C4">
                          <w:rPr>
                            <w:rFonts w:ascii="Times New Roman" w:hAnsi="Times New Roman" w:cs="Times New Roman"/>
                            <w:sz w:val="12"/>
                            <w:szCs w:val="12"/>
                          </w:rPr>
                          <w:t>62 (30.0%)</w:t>
                        </w:r>
                      </w:p>
                    </w:tc>
                    <w:tc>
                      <w:tcPr>
                        <w:tcW w:w="1440" w:type="dxa"/>
                        <w:vMerge/>
                        <w:tcBorders>
                          <w:bottom w:val="nil"/>
                        </w:tcBorders>
                        <w:shd w:val="clear" w:color="auto" w:fill="FFFFFF" w:themeFill="background1"/>
                      </w:tcPr>
                      <w:p w:rsidR="00E453F5" w:rsidRPr="001915C4" w:rsidRDefault="00E453F5" w:rsidP="000C2B82">
                        <w:pPr>
                          <w:cnfStyle w:val="000000000000"/>
                          <w:rPr>
                            <w:rFonts w:ascii="Times New Roman" w:hAnsi="Times New Roman" w:cs="Times New Roman"/>
                            <w:sz w:val="12"/>
                            <w:szCs w:val="12"/>
                          </w:rPr>
                        </w:pPr>
                      </w:p>
                    </w:tc>
                  </w:tr>
                </w:tbl>
                <w:p w:rsidR="00E453F5" w:rsidRPr="001915C4" w:rsidRDefault="00E453F5" w:rsidP="00E453F5">
                  <w:pPr>
                    <w:pStyle w:val="Body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  <w:tbl>
                  <w:tblPr>
                    <w:tblStyle w:val="LightShading1"/>
                    <w:tblW w:w="4788" w:type="dxa"/>
                    <w:shd w:val="clear" w:color="auto" w:fill="FFFFFF" w:themeFill="background1"/>
                    <w:tblLayout w:type="fixed"/>
                    <w:tblLook w:val="04A0"/>
                  </w:tblPr>
                  <w:tblGrid>
                    <w:gridCol w:w="1098"/>
                    <w:gridCol w:w="1260"/>
                    <w:gridCol w:w="1080"/>
                    <w:gridCol w:w="1350"/>
                  </w:tblGrid>
                  <w:tr w:rsidR="00E453F5" w:rsidRPr="001915C4" w:rsidTr="001915C4">
                    <w:trPr>
                      <w:cnfStyle w:val="100000000000"/>
                      <w:trHeight w:val="669"/>
                    </w:trPr>
                    <w:tc>
                      <w:tcPr>
                        <w:cnfStyle w:val="001000000000"/>
                        <w:tcW w:w="1098" w:type="dxa"/>
                        <w:tcBorders>
                          <w:top w:val="nil"/>
                          <w:bottom w:val="double" w:sz="4" w:space="0" w:color="auto"/>
                        </w:tcBorders>
                        <w:shd w:val="clear" w:color="auto" w:fill="FFFFFF" w:themeFill="background1"/>
                      </w:tcPr>
                      <w:p w:rsidR="001915C4" w:rsidRDefault="001915C4" w:rsidP="000C2B82">
                        <w:pPr>
                          <w:pStyle w:val="Body"/>
                          <w:rPr>
                            <w:rFonts w:ascii="Times New Roman" w:hAnsi="Times New Roman" w:cs="Times New Roman"/>
                            <w:b w:val="0"/>
                            <w:sz w:val="12"/>
                            <w:szCs w:val="12"/>
                          </w:rPr>
                        </w:pPr>
                      </w:p>
                      <w:p w:rsidR="001915C4" w:rsidRDefault="001915C4" w:rsidP="000C2B82">
                        <w:pPr>
                          <w:pStyle w:val="Body"/>
                          <w:rPr>
                            <w:rFonts w:ascii="Times New Roman" w:hAnsi="Times New Roman" w:cs="Times New Roman"/>
                            <w:b w:val="0"/>
                            <w:sz w:val="12"/>
                            <w:szCs w:val="12"/>
                          </w:rPr>
                        </w:pPr>
                      </w:p>
                      <w:p w:rsidR="00E453F5" w:rsidRPr="001915C4" w:rsidRDefault="001915C4" w:rsidP="000C2B82">
                        <w:pPr>
                          <w:pStyle w:val="Body"/>
                          <w:rPr>
                            <w:rFonts w:ascii="Times New Roman" w:hAnsi="Times New Roman" w:cs="Times New Roman"/>
                            <w:b w:val="0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sz w:val="12"/>
                            <w:szCs w:val="12"/>
                          </w:rPr>
                          <w:t>Controls</w:t>
                        </w:r>
                        <w:r w:rsidR="00E453F5" w:rsidRPr="001915C4">
                          <w:rPr>
                            <w:rFonts w:ascii="Times New Roman" w:hAnsi="Times New Roman" w:cs="Times New Roman"/>
                            <w:b w:val="0"/>
                            <w:sz w:val="12"/>
                            <w:szCs w:val="12"/>
                          </w:rPr>
                          <w:t>(n=200)</w:t>
                        </w:r>
                      </w:p>
                      <w:p w:rsidR="00E453F5" w:rsidRPr="001915C4" w:rsidRDefault="00E453F5" w:rsidP="000C2B82">
                        <w:pPr>
                          <w:pStyle w:val="Body"/>
                          <w:rPr>
                            <w:rFonts w:ascii="Times New Roman" w:hAnsi="Times New Roman" w:cs="Times New Roman"/>
                            <w:b w:val="0"/>
                            <w:sz w:val="12"/>
                            <w:szCs w:val="12"/>
                          </w:rPr>
                        </w:pPr>
                      </w:p>
                      <w:p w:rsidR="00E453F5" w:rsidRPr="001915C4" w:rsidRDefault="00E453F5" w:rsidP="000C2B82">
                        <w:pPr>
                          <w:pStyle w:val="Body"/>
                          <w:rPr>
                            <w:rFonts w:ascii="Times New Roman" w:hAnsi="Times New Roman" w:cs="Times New Roman"/>
                            <w:b w:val="0"/>
                            <w:sz w:val="12"/>
                            <w:szCs w:val="12"/>
                          </w:rPr>
                        </w:pPr>
                        <w:r w:rsidRPr="001915C4">
                          <w:rPr>
                            <w:rFonts w:ascii="Times New Roman" w:hAnsi="Times New Roman" w:cs="Times New Roman"/>
                            <w:b w:val="0"/>
                            <w:sz w:val="12"/>
                            <w:szCs w:val="12"/>
                          </w:rPr>
                          <w:t xml:space="preserve">Cases (n=207)  </w:t>
                        </w:r>
                      </w:p>
                    </w:tc>
                    <w:tc>
                      <w:tcPr>
                        <w:tcW w:w="1260" w:type="dxa"/>
                        <w:tcBorders>
                          <w:top w:val="nil"/>
                          <w:bottom w:val="double" w:sz="4" w:space="0" w:color="auto"/>
                        </w:tcBorders>
                        <w:shd w:val="clear" w:color="auto" w:fill="FFFFFF" w:themeFill="background1"/>
                      </w:tcPr>
                      <w:p w:rsidR="00E453F5" w:rsidRPr="001915C4" w:rsidRDefault="00E453F5" w:rsidP="000C2B82">
                        <w:pPr>
                          <w:pStyle w:val="Body"/>
                          <w:cnfStyle w:val="100000000000"/>
                          <w:rPr>
                            <w:rFonts w:ascii="Times New Roman" w:hAnsi="Times New Roman" w:cs="Times New Roman"/>
                            <w:b w:val="0"/>
                            <w:sz w:val="12"/>
                            <w:szCs w:val="12"/>
                          </w:rPr>
                        </w:pPr>
                        <w:r w:rsidRPr="001915C4">
                          <w:rPr>
                            <w:rFonts w:ascii="Times New Roman" w:hAnsi="Times New Roman" w:cs="Times New Roman"/>
                            <w:b w:val="0"/>
                            <w:sz w:val="12"/>
                            <w:szCs w:val="12"/>
                          </w:rPr>
                          <w:t>GSTM1 Positive</w:t>
                        </w:r>
                      </w:p>
                      <w:p w:rsidR="00E453F5" w:rsidRPr="001915C4" w:rsidRDefault="00E453F5" w:rsidP="000C2B82">
                        <w:pPr>
                          <w:pStyle w:val="Body"/>
                          <w:cnfStyle w:val="100000000000"/>
                          <w:rPr>
                            <w:rFonts w:ascii="Times New Roman" w:hAnsi="Times New Roman" w:cs="Times New Roman"/>
                            <w:b w:val="0"/>
                            <w:sz w:val="12"/>
                            <w:szCs w:val="12"/>
                          </w:rPr>
                        </w:pPr>
                        <w:r w:rsidRPr="001915C4">
                          <w:rPr>
                            <w:rFonts w:ascii="Times New Roman" w:hAnsi="Times New Roman" w:cs="Times New Roman"/>
                            <w:b w:val="0"/>
                            <w:sz w:val="12"/>
                            <w:szCs w:val="12"/>
                          </w:rPr>
                          <w:t>n(%)</w:t>
                        </w:r>
                      </w:p>
                      <w:p w:rsidR="00E453F5" w:rsidRPr="001915C4" w:rsidRDefault="00E453F5" w:rsidP="000C2B82">
                        <w:pPr>
                          <w:pStyle w:val="Body"/>
                          <w:cnfStyle w:val="100000000000"/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12"/>
                            <w:szCs w:val="12"/>
                          </w:rPr>
                        </w:pPr>
                        <w:r w:rsidRPr="001915C4">
                          <w:rPr>
                            <w:rFonts w:ascii="Times New Roman" w:hAnsi="Times New Roman" w:cs="Times New Roman"/>
                            <w:b w:val="0"/>
                            <w:sz w:val="12"/>
                            <w:szCs w:val="12"/>
                          </w:rPr>
                          <w:t>148 (74%)</w:t>
                        </w:r>
                      </w:p>
                      <w:p w:rsidR="00E453F5" w:rsidRPr="001915C4" w:rsidRDefault="00E453F5" w:rsidP="000C2B82">
                        <w:pPr>
                          <w:pStyle w:val="Body"/>
                          <w:cnfStyle w:val="100000000000"/>
                          <w:rPr>
                            <w:rFonts w:ascii="Times New Roman" w:hAnsi="Times New Roman" w:cs="Times New Roman"/>
                            <w:b w:val="0"/>
                            <w:sz w:val="12"/>
                            <w:szCs w:val="12"/>
                          </w:rPr>
                        </w:pPr>
                        <w:r w:rsidRPr="001915C4">
                          <w:rPr>
                            <w:rFonts w:ascii="Times New Roman" w:hAnsi="Times New Roman" w:cs="Times New Roman"/>
                            <w:b w:val="0"/>
                            <w:sz w:val="12"/>
                            <w:szCs w:val="12"/>
                          </w:rPr>
                          <w:t xml:space="preserve">    </w:t>
                        </w:r>
                      </w:p>
                      <w:p w:rsidR="00E453F5" w:rsidRPr="001915C4" w:rsidRDefault="00E453F5" w:rsidP="000C2B82">
                        <w:pPr>
                          <w:pStyle w:val="Body"/>
                          <w:cnfStyle w:val="100000000000"/>
                          <w:rPr>
                            <w:rFonts w:ascii="Times New Roman" w:hAnsi="Times New Roman" w:cs="Times New Roman"/>
                            <w:b w:val="0"/>
                            <w:sz w:val="12"/>
                            <w:szCs w:val="12"/>
                          </w:rPr>
                        </w:pPr>
                        <w:r w:rsidRPr="001915C4">
                          <w:rPr>
                            <w:rFonts w:ascii="Times New Roman" w:hAnsi="Times New Roman" w:cs="Times New Roman"/>
                            <w:b w:val="0"/>
                            <w:sz w:val="12"/>
                            <w:szCs w:val="12"/>
                          </w:rPr>
                          <w:t>129 (62.3%)</w:t>
                        </w:r>
                      </w:p>
                    </w:tc>
                    <w:tc>
                      <w:tcPr>
                        <w:tcW w:w="1080" w:type="dxa"/>
                        <w:tcBorders>
                          <w:top w:val="nil"/>
                          <w:bottom w:val="double" w:sz="4" w:space="0" w:color="auto"/>
                        </w:tcBorders>
                        <w:shd w:val="clear" w:color="auto" w:fill="FFFFFF" w:themeFill="background1"/>
                      </w:tcPr>
                      <w:p w:rsidR="00E453F5" w:rsidRPr="001915C4" w:rsidRDefault="00E453F5" w:rsidP="000C2B82">
                        <w:pPr>
                          <w:pStyle w:val="Body"/>
                          <w:ind w:left="-530" w:firstLine="422"/>
                          <w:cnfStyle w:val="100000000000"/>
                          <w:rPr>
                            <w:rFonts w:ascii="Times New Roman" w:hAnsi="Times New Roman" w:cs="Times New Roman"/>
                            <w:b w:val="0"/>
                            <w:sz w:val="12"/>
                            <w:szCs w:val="12"/>
                          </w:rPr>
                        </w:pPr>
                        <w:r w:rsidRPr="001915C4">
                          <w:rPr>
                            <w:rFonts w:ascii="Times New Roman" w:hAnsi="Times New Roman" w:cs="Times New Roman"/>
                            <w:b w:val="0"/>
                            <w:sz w:val="12"/>
                            <w:szCs w:val="12"/>
                          </w:rPr>
                          <w:t>GSTM1 Null</w:t>
                        </w:r>
                      </w:p>
                      <w:p w:rsidR="00E453F5" w:rsidRPr="001915C4" w:rsidRDefault="00E453F5" w:rsidP="000C2B82">
                        <w:pPr>
                          <w:pStyle w:val="Body"/>
                          <w:ind w:left="-108"/>
                          <w:cnfStyle w:val="100000000000"/>
                          <w:rPr>
                            <w:rFonts w:ascii="Times New Roman" w:hAnsi="Times New Roman" w:cs="Times New Roman"/>
                            <w:b w:val="0"/>
                            <w:sz w:val="12"/>
                            <w:szCs w:val="12"/>
                          </w:rPr>
                        </w:pPr>
                        <w:r w:rsidRPr="001915C4">
                          <w:rPr>
                            <w:rFonts w:ascii="Times New Roman" w:hAnsi="Times New Roman" w:cs="Times New Roman"/>
                            <w:b w:val="0"/>
                            <w:sz w:val="12"/>
                            <w:szCs w:val="12"/>
                          </w:rPr>
                          <w:t>n(%)</w:t>
                        </w:r>
                      </w:p>
                      <w:p w:rsidR="00E453F5" w:rsidRPr="001915C4" w:rsidRDefault="00E453F5" w:rsidP="000C2B82">
                        <w:pPr>
                          <w:pStyle w:val="Body"/>
                          <w:ind w:left="-108"/>
                          <w:cnfStyle w:val="100000000000"/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12"/>
                            <w:szCs w:val="12"/>
                          </w:rPr>
                        </w:pPr>
                        <w:r w:rsidRPr="001915C4">
                          <w:rPr>
                            <w:rFonts w:ascii="Times New Roman" w:hAnsi="Times New Roman" w:cs="Times New Roman"/>
                            <w:b w:val="0"/>
                            <w:sz w:val="12"/>
                            <w:szCs w:val="12"/>
                          </w:rPr>
                          <w:t>52 (26%)</w:t>
                        </w:r>
                      </w:p>
                      <w:p w:rsidR="00E453F5" w:rsidRPr="001915C4" w:rsidRDefault="00E453F5" w:rsidP="000C2B82">
                        <w:pPr>
                          <w:pStyle w:val="Body"/>
                          <w:ind w:left="-108"/>
                          <w:cnfStyle w:val="100000000000"/>
                          <w:rPr>
                            <w:rFonts w:ascii="Times New Roman" w:hAnsi="Times New Roman" w:cs="Times New Roman"/>
                            <w:b w:val="0"/>
                            <w:sz w:val="12"/>
                            <w:szCs w:val="12"/>
                          </w:rPr>
                        </w:pPr>
                      </w:p>
                      <w:p w:rsidR="00E453F5" w:rsidRPr="001915C4" w:rsidRDefault="00E453F5" w:rsidP="000C2B82">
                        <w:pPr>
                          <w:pStyle w:val="Body"/>
                          <w:ind w:left="-108"/>
                          <w:cnfStyle w:val="100000000000"/>
                          <w:rPr>
                            <w:rFonts w:ascii="Times New Roman" w:hAnsi="Times New Roman" w:cs="Times New Roman"/>
                            <w:b w:val="0"/>
                            <w:sz w:val="12"/>
                            <w:szCs w:val="12"/>
                          </w:rPr>
                        </w:pPr>
                        <w:r w:rsidRPr="001915C4">
                          <w:rPr>
                            <w:rFonts w:ascii="Times New Roman" w:hAnsi="Times New Roman" w:cs="Times New Roman"/>
                            <w:b w:val="0"/>
                            <w:sz w:val="12"/>
                            <w:szCs w:val="12"/>
                          </w:rPr>
                          <w:t>78 (37.7%)</w:t>
                        </w:r>
                      </w:p>
                    </w:tc>
                    <w:tc>
                      <w:tcPr>
                        <w:tcW w:w="1350" w:type="dxa"/>
                        <w:tcBorders>
                          <w:top w:val="nil"/>
                          <w:bottom w:val="double" w:sz="4" w:space="0" w:color="auto"/>
                        </w:tcBorders>
                        <w:shd w:val="clear" w:color="auto" w:fill="FFFFFF" w:themeFill="background1"/>
                      </w:tcPr>
                      <w:p w:rsidR="00E453F5" w:rsidRPr="001915C4" w:rsidRDefault="00E453F5" w:rsidP="000C2B82">
                        <w:pPr>
                          <w:pStyle w:val="Body"/>
                          <w:ind w:firstLine="422"/>
                          <w:cnfStyle w:val="100000000000"/>
                          <w:rPr>
                            <w:rFonts w:ascii="Times New Roman" w:hAnsi="Times New Roman" w:cs="Times New Roman"/>
                            <w:b w:val="0"/>
                            <w:sz w:val="12"/>
                            <w:szCs w:val="12"/>
                          </w:rPr>
                        </w:pPr>
                      </w:p>
                      <w:p w:rsidR="00E453F5" w:rsidRPr="001915C4" w:rsidRDefault="00E453F5" w:rsidP="000C2B82">
                        <w:pPr>
                          <w:pStyle w:val="Body"/>
                          <w:ind w:firstLine="422"/>
                          <w:cnfStyle w:val="100000000000"/>
                          <w:rPr>
                            <w:rFonts w:ascii="Times New Roman" w:hAnsi="Times New Roman" w:cs="Times New Roman"/>
                            <w:b w:val="0"/>
                            <w:sz w:val="12"/>
                            <w:szCs w:val="12"/>
                          </w:rPr>
                        </w:pPr>
                      </w:p>
                      <w:p w:rsidR="00E453F5" w:rsidRPr="001915C4" w:rsidRDefault="00E453F5" w:rsidP="000C2B82">
                        <w:pPr>
                          <w:pStyle w:val="Body"/>
                          <w:ind w:left="-18"/>
                          <w:cnfStyle w:val="100000000000"/>
                          <w:rPr>
                            <w:rFonts w:ascii="Times New Roman" w:hAnsi="Times New Roman" w:cs="Times New Roman"/>
                            <w:b w:val="0"/>
                            <w:sz w:val="12"/>
                            <w:szCs w:val="12"/>
                          </w:rPr>
                        </w:pPr>
                        <w:r w:rsidRPr="001915C4">
                          <w:rPr>
                            <w:rFonts w:ascii="Times New Roman" w:hAnsi="Times New Roman" w:cs="Times New Roman"/>
                            <w:b w:val="0"/>
                            <w:sz w:val="12"/>
                            <w:szCs w:val="12"/>
                          </w:rPr>
                          <w:t>1 (Ref)</w:t>
                        </w:r>
                      </w:p>
                      <w:p w:rsidR="00E453F5" w:rsidRPr="001915C4" w:rsidRDefault="00E453F5" w:rsidP="000C2B82">
                        <w:pPr>
                          <w:pStyle w:val="Body"/>
                          <w:ind w:left="-18"/>
                          <w:cnfStyle w:val="100000000000"/>
                          <w:rPr>
                            <w:rFonts w:ascii="Times New Roman" w:hAnsi="Times New Roman" w:cs="Times New Roman"/>
                            <w:b w:val="0"/>
                            <w:sz w:val="12"/>
                            <w:szCs w:val="12"/>
                          </w:rPr>
                        </w:pPr>
                      </w:p>
                      <w:p w:rsidR="00E453F5" w:rsidRPr="001915C4" w:rsidRDefault="00E453F5" w:rsidP="000C2B82">
                        <w:pPr>
                          <w:pStyle w:val="Body"/>
                          <w:ind w:left="-18"/>
                          <w:cnfStyle w:val="100000000000"/>
                          <w:rPr>
                            <w:rFonts w:ascii="Times New Roman" w:hAnsi="Times New Roman" w:cs="Times New Roman"/>
                            <w:b w:val="0"/>
                            <w:sz w:val="12"/>
                            <w:szCs w:val="12"/>
                          </w:rPr>
                        </w:pPr>
                        <w:r w:rsidRPr="001915C4">
                          <w:rPr>
                            <w:rFonts w:ascii="Times New Roman" w:hAnsi="Times New Roman" w:cs="Times New Roman"/>
                            <w:b w:val="0"/>
                            <w:sz w:val="12"/>
                            <w:szCs w:val="12"/>
                          </w:rPr>
                          <w:t>1.71 (1.12-2.61)*</w:t>
                        </w:r>
                      </w:p>
                    </w:tc>
                  </w:tr>
                </w:tbl>
                <w:p w:rsidR="00E453F5" w:rsidRPr="00E453F5" w:rsidRDefault="00E453F5" w:rsidP="00E453F5">
                  <w:pPr>
                    <w:pStyle w:val="Body"/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</w:pPr>
                  <w:r w:rsidRPr="00E453F5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GSTT1, Glutathione  S Transferase Theta 1; GSTM1, Glutathione  S Transferase Mu1; OR, odd ratio;CI, confidence interval; positive, both allele present; null, deletion mutation present, *p&lt;0.05, ns= non significant.</w:t>
                  </w:r>
                </w:p>
                <w:p w:rsidR="00E453F5" w:rsidRPr="00E453F5" w:rsidRDefault="00E453F5" w:rsidP="00E453F5">
                  <w:pPr>
                    <w:pStyle w:val="Body"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E453F5" w:rsidRPr="00E453F5" w:rsidRDefault="00E453F5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 w:rsidR="007E02F4" w:rsidRPr="00FC4618">
        <w:rPr>
          <w:rFonts w:ascii="Times New Roman" w:hAnsi="Times New Roman" w:cs="Times New Roman"/>
          <w:color w:val="BF5A14"/>
          <w:sz w:val="16"/>
          <w:szCs w:val="16"/>
        </w:rPr>
        <w:t>Image</w:t>
      </w:r>
    </w:p>
    <w:p w:rsidR="0040410A" w:rsidRDefault="0040410A" w:rsidP="0040410A">
      <w:pPr>
        <w:pStyle w:val="Heading3"/>
        <w:spacing w:before="74"/>
        <w:rPr>
          <w:rFonts w:ascii="Times New Roman" w:hAnsi="Times New Roman" w:cs="Times New Roman"/>
          <w:color w:val="BF5A14"/>
        </w:rPr>
      </w:pPr>
    </w:p>
    <w:p w:rsidR="0040410A" w:rsidRDefault="0040410A" w:rsidP="0040410A">
      <w:pPr>
        <w:pStyle w:val="Heading3"/>
        <w:spacing w:before="74"/>
        <w:rPr>
          <w:rFonts w:ascii="Times New Roman" w:hAnsi="Times New Roman" w:cs="Times New Roman"/>
          <w:color w:val="BF5A14"/>
        </w:rPr>
      </w:pPr>
    </w:p>
    <w:p w:rsidR="0040410A" w:rsidRDefault="0040410A" w:rsidP="0040410A">
      <w:pPr>
        <w:pStyle w:val="Heading3"/>
        <w:spacing w:before="74"/>
        <w:rPr>
          <w:rFonts w:ascii="Times New Roman" w:hAnsi="Times New Roman" w:cs="Times New Roman"/>
          <w:color w:val="BF5A14"/>
        </w:rPr>
      </w:pPr>
    </w:p>
    <w:p w:rsidR="0040410A" w:rsidRDefault="0040410A" w:rsidP="0040410A">
      <w:pPr>
        <w:pStyle w:val="Heading3"/>
        <w:spacing w:before="74"/>
        <w:rPr>
          <w:rFonts w:ascii="Times New Roman" w:hAnsi="Times New Roman" w:cs="Times New Roman"/>
          <w:color w:val="BF5A14"/>
        </w:rPr>
      </w:pPr>
    </w:p>
    <w:p w:rsidR="00E453F5" w:rsidRDefault="007E02F4" w:rsidP="0040410A">
      <w:pPr>
        <w:pStyle w:val="Heading3"/>
        <w:spacing w:before="74"/>
        <w:rPr>
          <w:rFonts w:ascii="Times New Roman" w:hAnsi="Times New Roman" w:cs="Times New Roman"/>
          <w:color w:val="BF5A14"/>
        </w:rPr>
      </w:pPr>
      <w:r w:rsidRPr="008B0AD9">
        <w:rPr>
          <w:rFonts w:ascii="Times New Roman" w:hAnsi="Times New Roman" w:cs="Times New Roman"/>
          <w:color w:val="BF5A14"/>
        </w:rPr>
        <w:br/>
      </w:r>
    </w:p>
    <w:p w:rsidR="00E453F5" w:rsidRDefault="00E453F5" w:rsidP="0040410A">
      <w:pPr>
        <w:pStyle w:val="Heading3"/>
        <w:spacing w:before="74"/>
        <w:rPr>
          <w:rFonts w:ascii="Times New Roman" w:hAnsi="Times New Roman" w:cs="Times New Roman"/>
          <w:color w:val="BF5A14"/>
        </w:rPr>
      </w:pPr>
    </w:p>
    <w:p w:rsidR="00E453F5" w:rsidRDefault="00E453F5" w:rsidP="0040410A">
      <w:pPr>
        <w:pStyle w:val="Heading3"/>
        <w:spacing w:before="74"/>
        <w:rPr>
          <w:rFonts w:ascii="Times New Roman" w:hAnsi="Times New Roman" w:cs="Times New Roman"/>
          <w:color w:val="BF5A14"/>
        </w:rPr>
      </w:pPr>
    </w:p>
    <w:p w:rsidR="002F4397" w:rsidRDefault="002F4397" w:rsidP="00BC5846">
      <w:pPr>
        <w:pStyle w:val="Heading3"/>
        <w:spacing w:before="74"/>
        <w:ind w:left="0"/>
        <w:rPr>
          <w:rFonts w:ascii="Times New Roman" w:hAnsi="Times New Roman" w:cs="Times New Roman"/>
          <w:color w:val="BF5A14"/>
        </w:rPr>
      </w:pPr>
    </w:p>
    <w:p w:rsidR="00BC5846" w:rsidRDefault="00BC5846" w:rsidP="00BC5846">
      <w:pPr>
        <w:pStyle w:val="Heading3"/>
        <w:spacing w:before="74"/>
        <w:ind w:left="0"/>
        <w:rPr>
          <w:rFonts w:ascii="Times New Roman" w:hAnsi="Times New Roman" w:cs="Times New Roman"/>
          <w:color w:val="BF5A14"/>
        </w:rPr>
      </w:pPr>
    </w:p>
    <w:p w:rsidR="007E02F4" w:rsidRPr="00BC5846" w:rsidRDefault="007E02F4" w:rsidP="0040410A">
      <w:pPr>
        <w:pStyle w:val="Heading3"/>
        <w:spacing w:before="74"/>
        <w:rPr>
          <w:rFonts w:ascii="Times New Roman" w:hAnsi="Times New Roman" w:cs="Times New Roman"/>
          <w:sz w:val="18"/>
          <w:szCs w:val="18"/>
        </w:rPr>
      </w:pPr>
      <w:r w:rsidRPr="00BC5846">
        <w:rPr>
          <w:rFonts w:ascii="Times New Roman" w:hAnsi="Times New Roman" w:cs="Times New Roman"/>
          <w:color w:val="BF5A14"/>
          <w:sz w:val="18"/>
          <w:szCs w:val="18"/>
        </w:rPr>
        <w:t>Recent Publications (minimum 5)</w:t>
      </w:r>
    </w:p>
    <w:p w:rsidR="002F4397" w:rsidRPr="00BC5846" w:rsidRDefault="002F4397" w:rsidP="002F4397">
      <w:pPr>
        <w:pStyle w:val="Heading1"/>
        <w:numPr>
          <w:ilvl w:val="0"/>
          <w:numId w:val="2"/>
        </w:numPr>
        <w:pBdr>
          <w:bottom w:val="single" w:sz="6" w:space="7" w:color="D5D2D2"/>
        </w:pBdr>
        <w:shd w:val="clear" w:color="auto" w:fill="F1F0F0"/>
        <w:spacing w:before="0" w:line="276" w:lineRule="auto"/>
        <w:jc w:val="both"/>
        <w:textAlignment w:val="baseline"/>
        <w:rPr>
          <w:rStyle w:val="field-content"/>
          <w:rFonts w:ascii="Times New Roman" w:hAnsi="Times New Roman" w:cs="Times New Roman"/>
          <w:b w:val="0"/>
          <w:spacing w:val="5"/>
          <w:sz w:val="16"/>
          <w:szCs w:val="16"/>
        </w:rPr>
      </w:pPr>
      <w:r w:rsidRPr="00BC5846">
        <w:rPr>
          <w:rFonts w:ascii="Times New Roman" w:hAnsi="Times New Roman" w:cs="Times New Roman"/>
          <w:b w:val="0"/>
          <w:sz w:val="16"/>
          <w:szCs w:val="16"/>
          <w:shd w:val="clear" w:color="auto" w:fill="FFFFFF"/>
        </w:rPr>
        <w:t xml:space="preserve">de Souza LC, Brito TL, Almeida AT, Muniz YP, Nishiyama PB, Souza CL, Tomazi L (2019) Association study between GSTM1 and GSTT1 genotypes and other possible risk factors in prostate cancer patients in a population from southwest Bahia, Brazil. </w:t>
      </w:r>
      <w:r w:rsidRPr="00BC5846">
        <w:rPr>
          <w:rStyle w:val="views-label"/>
          <w:rFonts w:ascii="Times New Roman" w:hAnsi="Times New Roman" w:cs="Times New Roman"/>
          <w:b w:val="0"/>
          <w:iCs/>
          <w:spacing w:val="5"/>
          <w:sz w:val="16"/>
          <w:szCs w:val="16"/>
          <w:bdr w:val="none" w:sz="0" w:space="0" w:color="auto" w:frame="1"/>
        </w:rPr>
        <w:t>Genet Mol Res </w:t>
      </w:r>
      <w:r w:rsidRPr="00BC5846">
        <w:rPr>
          <w:rStyle w:val="field-content"/>
          <w:rFonts w:ascii="Times New Roman" w:hAnsi="Times New Roman" w:cs="Times New Roman"/>
          <w:b w:val="0"/>
          <w:iCs/>
          <w:spacing w:val="5"/>
          <w:sz w:val="16"/>
          <w:szCs w:val="16"/>
          <w:bdr w:val="none" w:sz="0" w:space="0" w:color="auto" w:frame="1"/>
        </w:rPr>
        <w:t xml:space="preserve">18(3):1-10. GMR18296. </w:t>
      </w:r>
      <w:r w:rsidRPr="00BC5846">
        <w:rPr>
          <w:rStyle w:val="views-label"/>
          <w:rFonts w:ascii="Times New Roman" w:hAnsi="Times New Roman" w:cs="Times New Roman"/>
          <w:b w:val="0"/>
          <w:iCs/>
          <w:spacing w:val="5"/>
          <w:sz w:val="16"/>
          <w:szCs w:val="16"/>
          <w:bdr w:val="none" w:sz="0" w:space="0" w:color="auto" w:frame="1"/>
        </w:rPr>
        <w:t>DOI: </w:t>
      </w:r>
      <w:hyperlink r:id="rId9" w:tgtFrame="_blank" w:history="1">
        <w:r w:rsidRPr="00BC5846">
          <w:rPr>
            <w:rStyle w:val="Hyperlink"/>
            <w:rFonts w:ascii="Times New Roman" w:hAnsi="Times New Roman" w:cs="Times New Roman"/>
            <w:b w:val="0"/>
            <w:iCs/>
            <w:color w:val="auto"/>
            <w:spacing w:val="5"/>
            <w:sz w:val="16"/>
            <w:szCs w:val="16"/>
            <w:u w:val="none"/>
            <w:bdr w:val="none" w:sz="0" w:space="0" w:color="auto" w:frame="1"/>
          </w:rPr>
          <w:t>10.4238/gmr18296</w:t>
        </w:r>
      </w:hyperlink>
    </w:p>
    <w:p w:rsidR="002F4397" w:rsidRPr="00BC5846" w:rsidRDefault="002F4397" w:rsidP="002F4397">
      <w:pPr>
        <w:pStyle w:val="Heading1"/>
        <w:numPr>
          <w:ilvl w:val="0"/>
          <w:numId w:val="2"/>
        </w:numPr>
        <w:pBdr>
          <w:bottom w:val="single" w:sz="6" w:space="7" w:color="D5D2D2"/>
        </w:pBdr>
        <w:shd w:val="clear" w:color="auto" w:fill="F1F0F0"/>
        <w:spacing w:before="0" w:line="276" w:lineRule="auto"/>
        <w:jc w:val="both"/>
        <w:textAlignment w:val="baseline"/>
        <w:rPr>
          <w:rStyle w:val="Emphasis"/>
          <w:rFonts w:ascii="Times New Roman" w:hAnsi="Times New Roman" w:cs="Times New Roman"/>
          <w:b w:val="0"/>
          <w:i w:val="0"/>
          <w:iCs w:val="0"/>
          <w:spacing w:val="5"/>
          <w:sz w:val="16"/>
          <w:szCs w:val="16"/>
        </w:rPr>
      </w:pPr>
      <w:r w:rsidRPr="00BC5846">
        <w:rPr>
          <w:rStyle w:val="Emphasis"/>
          <w:rFonts w:ascii="Times New Roman" w:hAnsi="Times New Roman" w:cs="Times New Roman"/>
          <w:b w:val="0"/>
          <w:i w:val="0"/>
          <w:sz w:val="16"/>
          <w:szCs w:val="16"/>
        </w:rPr>
        <w:t xml:space="preserve">Malik SS, Kazmi Z, Fatima I, Shabbir R, Perveen S, Masood N.Asian (2016) </w:t>
      </w:r>
      <w:r w:rsidRPr="00BC5846">
        <w:rPr>
          <w:rFonts w:ascii="Times New Roman" w:hAnsi="Times New Roman" w:cs="Times New Roman"/>
          <w:b w:val="0"/>
          <w:sz w:val="16"/>
          <w:szCs w:val="16"/>
          <w:shd w:val="clear" w:color="auto" w:fill="FFFFFF"/>
        </w:rPr>
        <w:t>Genetic Polymorphism of GSTM1 and GSTT1 and Risk of Prostatic Carcinoma - a Meta-analysis of 7,281 Prostate Cancer Cases and 9,082 Healthy Controls.</w:t>
      </w:r>
      <w:r w:rsidRPr="00BC5846">
        <w:rPr>
          <w:rStyle w:val="Emphasis"/>
          <w:rFonts w:ascii="Times New Roman" w:hAnsi="Times New Roman" w:cs="Times New Roman"/>
          <w:b w:val="0"/>
          <w:i w:val="0"/>
          <w:sz w:val="16"/>
          <w:szCs w:val="16"/>
        </w:rPr>
        <w:t>Pac J Cancer Prev. 17(5):2629-35</w:t>
      </w:r>
    </w:p>
    <w:p w:rsidR="002F4397" w:rsidRPr="00BC5846" w:rsidRDefault="002F4397" w:rsidP="002F4397">
      <w:pPr>
        <w:pStyle w:val="Heading1"/>
        <w:numPr>
          <w:ilvl w:val="0"/>
          <w:numId w:val="2"/>
        </w:numPr>
        <w:pBdr>
          <w:bottom w:val="single" w:sz="6" w:space="7" w:color="D5D2D2"/>
        </w:pBdr>
        <w:shd w:val="clear" w:color="auto" w:fill="F1F0F0"/>
        <w:spacing w:before="0" w:line="276" w:lineRule="auto"/>
        <w:jc w:val="both"/>
        <w:textAlignment w:val="baseline"/>
        <w:rPr>
          <w:rFonts w:ascii="Times New Roman" w:hAnsi="Times New Roman" w:cs="Times New Roman"/>
          <w:b w:val="0"/>
          <w:spacing w:val="5"/>
          <w:sz w:val="16"/>
          <w:szCs w:val="16"/>
        </w:rPr>
      </w:pPr>
      <w:r w:rsidRPr="00BC5846">
        <w:rPr>
          <w:rFonts w:ascii="Times New Roman" w:hAnsi="Times New Roman" w:cs="Times New Roman"/>
          <w:b w:val="0"/>
          <w:sz w:val="16"/>
          <w:szCs w:val="16"/>
          <w:shd w:val="clear" w:color="auto" w:fill="FFFFFF"/>
        </w:rPr>
        <w:t>Tian-Biao Zhou, Gregor P. C. Drummen, Zong-Pei Jiang, Yuan-Han Qin (2014) </w:t>
      </w:r>
      <w:r w:rsidRPr="00BC5846">
        <w:rPr>
          <w:rStyle w:val="Emphasis"/>
          <w:rFonts w:ascii="Times New Roman" w:hAnsi="Times New Roman" w:cs="Times New Roman"/>
          <w:b w:val="0"/>
          <w:i w:val="0"/>
          <w:sz w:val="16"/>
          <w:szCs w:val="16"/>
          <w:bdr w:val="none" w:sz="0" w:space="0" w:color="auto" w:frame="1"/>
          <w:shd w:val="clear" w:color="auto" w:fill="FFFFFF"/>
        </w:rPr>
        <w:t>GSTT1</w:t>
      </w:r>
      <w:r w:rsidRPr="00BC5846">
        <w:rPr>
          <w:rFonts w:ascii="Times New Roman" w:hAnsi="Times New Roman" w:cs="Times New Roman"/>
          <w:b w:val="0"/>
          <w:sz w:val="16"/>
          <w:szCs w:val="16"/>
          <w:shd w:val="clear" w:color="auto" w:fill="FFFFFF"/>
        </w:rPr>
        <w:t> Polymorphism and the Risk of Developing Prostate Cancer, </w:t>
      </w:r>
      <w:r w:rsidRPr="00BC5846">
        <w:rPr>
          <w:rStyle w:val="Emphasis"/>
          <w:rFonts w:ascii="Times New Roman" w:hAnsi="Times New Roman" w:cs="Times New Roman"/>
          <w:b w:val="0"/>
          <w:i w:val="0"/>
          <w:sz w:val="16"/>
          <w:szCs w:val="16"/>
          <w:bdr w:val="none" w:sz="0" w:space="0" w:color="auto" w:frame="1"/>
          <w:shd w:val="clear" w:color="auto" w:fill="FFFFFF"/>
        </w:rPr>
        <w:t>American Journal of Epidemiology</w:t>
      </w:r>
      <w:r w:rsidRPr="00BC5846">
        <w:rPr>
          <w:rFonts w:ascii="Times New Roman" w:hAnsi="Times New Roman" w:cs="Times New Roman"/>
          <w:b w:val="0"/>
          <w:sz w:val="16"/>
          <w:szCs w:val="16"/>
          <w:shd w:val="clear" w:color="auto" w:fill="FFFFFF"/>
        </w:rPr>
        <w:t>, 180(1):1-</w:t>
      </w:r>
      <w:r w:rsidRPr="00BC5846">
        <w:rPr>
          <w:rFonts w:ascii="Times New Roman" w:hAnsi="Times New Roman" w:cs="Times New Roman"/>
          <w:b w:val="0"/>
          <w:sz w:val="16"/>
          <w:szCs w:val="16"/>
        </w:rPr>
        <w:t xml:space="preserve"> </w:t>
      </w:r>
      <w:r w:rsidRPr="00BC5846">
        <w:rPr>
          <w:rFonts w:ascii="Times New Roman" w:hAnsi="Times New Roman" w:cs="Times New Roman"/>
          <w:b w:val="0"/>
          <w:sz w:val="16"/>
          <w:szCs w:val="16"/>
          <w:shd w:val="clear" w:color="auto" w:fill="FFFFFF"/>
        </w:rPr>
        <w:t>10, </w:t>
      </w:r>
      <w:hyperlink r:id="rId10" w:history="1">
        <w:r w:rsidRPr="00BC5846">
          <w:rPr>
            <w:rStyle w:val="Hyperlink"/>
            <w:rFonts w:ascii="Times New Roman" w:hAnsi="Times New Roman" w:cs="Times New Roman"/>
            <w:b w:val="0"/>
            <w:color w:val="auto"/>
            <w:sz w:val="16"/>
            <w:szCs w:val="16"/>
            <w:u w:val="none"/>
            <w:bdr w:val="none" w:sz="0" w:space="0" w:color="auto" w:frame="1"/>
            <w:shd w:val="clear" w:color="auto" w:fill="FFFFFF"/>
          </w:rPr>
          <w:t>https://doi.org/10.1093/aje/kwu112</w:t>
        </w:r>
      </w:hyperlink>
    </w:p>
    <w:p w:rsidR="002F4397" w:rsidRPr="00BC5846" w:rsidRDefault="002F4397" w:rsidP="002F4397">
      <w:pPr>
        <w:pStyle w:val="Heading1"/>
        <w:numPr>
          <w:ilvl w:val="0"/>
          <w:numId w:val="2"/>
        </w:numPr>
        <w:pBdr>
          <w:bottom w:val="single" w:sz="6" w:space="7" w:color="D5D2D2"/>
        </w:pBdr>
        <w:shd w:val="clear" w:color="auto" w:fill="F1F0F0"/>
        <w:spacing w:before="0" w:line="276" w:lineRule="auto"/>
        <w:jc w:val="both"/>
        <w:textAlignment w:val="baseline"/>
        <w:rPr>
          <w:rStyle w:val="doi"/>
          <w:rFonts w:ascii="Times New Roman" w:hAnsi="Times New Roman" w:cs="Times New Roman"/>
          <w:b w:val="0"/>
          <w:spacing w:val="5"/>
          <w:sz w:val="16"/>
          <w:szCs w:val="16"/>
        </w:rPr>
      </w:pPr>
      <w:r w:rsidRPr="00BC5846">
        <w:rPr>
          <w:rFonts w:ascii="Times New Roman" w:hAnsi="Times New Roman" w:cs="Times New Roman"/>
          <w:b w:val="0"/>
          <w:sz w:val="16"/>
          <w:szCs w:val="16"/>
        </w:rPr>
        <w:t xml:space="preserve">Dajun Liu, Ying Liu, Limei Ran, Huiping Shang, Detian Li (2013) </w:t>
      </w:r>
      <w:hyperlink r:id="rId11" w:history="1">
        <w:r w:rsidRPr="00BC5846">
          <w:rPr>
            <w:rStyle w:val="Hyperlink"/>
            <w:rFonts w:ascii="Times New Roman" w:hAnsi="Times New Roman" w:cs="Times New Roman"/>
            <w:b w:val="0"/>
            <w:color w:val="auto"/>
            <w:sz w:val="16"/>
            <w:szCs w:val="16"/>
            <w:u w:val="none"/>
          </w:rPr>
          <w:t>GSTT1 and GSTM1 polymorphisms and prostate cancer risk in Asians: a systematic review and meta-analysis</w:t>
        </w:r>
      </w:hyperlink>
      <w:r w:rsidRPr="00BC5846">
        <w:rPr>
          <w:rFonts w:ascii="Times New Roman" w:hAnsi="Times New Roman" w:cs="Times New Roman"/>
          <w:b w:val="0"/>
          <w:sz w:val="16"/>
          <w:szCs w:val="16"/>
        </w:rPr>
        <w:t>. Tumour Biol. </w:t>
      </w:r>
      <w:r w:rsidRPr="00BC5846">
        <w:rPr>
          <w:rStyle w:val="citation-publication-date"/>
          <w:rFonts w:ascii="Times New Roman" w:hAnsi="Times New Roman" w:cs="Times New Roman"/>
          <w:b w:val="0"/>
          <w:sz w:val="16"/>
          <w:szCs w:val="16"/>
        </w:rPr>
        <w:t>2013 Oct; </w:t>
      </w:r>
      <w:r w:rsidRPr="00BC5846">
        <w:rPr>
          <w:rFonts w:ascii="Times New Roman" w:hAnsi="Times New Roman" w:cs="Times New Roman"/>
          <w:b w:val="0"/>
          <w:sz w:val="16"/>
          <w:szCs w:val="16"/>
        </w:rPr>
        <w:t>34(5): 2539–2544. Published online 2013 Jun 28. </w:t>
      </w:r>
      <w:r w:rsidRPr="00BC5846">
        <w:rPr>
          <w:rStyle w:val="doi"/>
          <w:rFonts w:ascii="Times New Roman" w:hAnsi="Times New Roman" w:cs="Times New Roman"/>
          <w:b w:val="0"/>
          <w:i/>
          <w:sz w:val="16"/>
          <w:szCs w:val="16"/>
        </w:rPr>
        <w:t>doi: 10.1007/s13277-013-0778-z</w:t>
      </w:r>
    </w:p>
    <w:p w:rsidR="002F4397" w:rsidRPr="00BC5846" w:rsidRDefault="002F4397" w:rsidP="002F4397">
      <w:pPr>
        <w:pStyle w:val="Heading1"/>
        <w:numPr>
          <w:ilvl w:val="0"/>
          <w:numId w:val="2"/>
        </w:numPr>
        <w:pBdr>
          <w:bottom w:val="single" w:sz="6" w:space="7" w:color="D5D2D2"/>
        </w:pBdr>
        <w:shd w:val="clear" w:color="auto" w:fill="F1F0F0"/>
        <w:spacing w:before="0" w:line="276" w:lineRule="auto"/>
        <w:jc w:val="both"/>
        <w:textAlignment w:val="baseline"/>
        <w:rPr>
          <w:rFonts w:ascii="Times New Roman" w:hAnsi="Times New Roman" w:cs="Times New Roman"/>
          <w:b w:val="0"/>
          <w:spacing w:val="5"/>
          <w:sz w:val="16"/>
          <w:szCs w:val="16"/>
        </w:rPr>
      </w:pPr>
      <w:r w:rsidRPr="00BC5846">
        <w:rPr>
          <w:rFonts w:ascii="Times New Roman" w:hAnsi="Times New Roman" w:cs="Times New Roman"/>
          <w:b w:val="0"/>
          <w:sz w:val="16"/>
          <w:szCs w:val="16"/>
          <w:shd w:val="clear" w:color="auto" w:fill="FFFFFF"/>
        </w:rPr>
        <w:t>Safarinejad, M. R , Shafiei, N.</w:t>
      </w:r>
      <w:r w:rsidRPr="00BC5846">
        <w:rPr>
          <w:rFonts w:ascii="Times New Roman" w:hAnsi="Times New Roman" w:cs="Times New Roman"/>
          <w:b w:val="0"/>
          <w:sz w:val="16"/>
          <w:szCs w:val="16"/>
        </w:rPr>
        <w:t xml:space="preserve"> </w:t>
      </w:r>
      <w:r w:rsidRPr="00BC5846">
        <w:rPr>
          <w:rFonts w:ascii="Times New Roman" w:hAnsi="Times New Roman" w:cs="Times New Roman"/>
          <w:b w:val="0"/>
          <w:sz w:val="16"/>
          <w:szCs w:val="16"/>
          <w:shd w:val="clear" w:color="auto" w:fill="FFFFFF"/>
        </w:rPr>
        <w:t>and S H Safarinejad</w:t>
      </w:r>
      <w:r w:rsidRPr="00BC5846">
        <w:rPr>
          <w:rFonts w:ascii="Times New Roman" w:hAnsi="Times New Roman" w:cs="Times New Roman"/>
          <w:b w:val="0"/>
          <w:sz w:val="16"/>
          <w:szCs w:val="16"/>
        </w:rPr>
        <w:t xml:space="preserve"> Glutathione S-transferase gene polymorphisms (GSTM1, GSTT1, GSTP1) and prostate cancer (2011) a case-control study in Tehran. </w:t>
      </w:r>
      <w:r w:rsidRPr="00BC5846">
        <w:rPr>
          <w:rFonts w:ascii="Times New Roman" w:hAnsi="Times New Roman" w:cs="Times New Roman"/>
          <w:b w:val="0"/>
          <w:i/>
          <w:sz w:val="16"/>
          <w:szCs w:val="16"/>
        </w:rPr>
        <w:t>Iran</w:t>
      </w:r>
      <w:r w:rsidRPr="00BC5846">
        <w:rPr>
          <w:rFonts w:ascii="Times New Roman" w:hAnsi="Times New Roman" w:cs="Times New Roman"/>
          <w:b w:val="0"/>
          <w:i/>
          <w:iCs/>
          <w:sz w:val="16"/>
          <w:szCs w:val="16"/>
          <w:shd w:val="clear" w:color="auto" w:fill="FFFFFF"/>
        </w:rPr>
        <w:t xml:space="preserve"> Prostate Cancer and Prostatic Diseases</w:t>
      </w:r>
      <w:r w:rsidRPr="00BC5846">
        <w:rPr>
          <w:rStyle w:val="apple-converted-space"/>
          <w:rFonts w:ascii="Times New Roman" w:hAnsi="Times New Roman" w:cs="Times New Roman"/>
          <w:b w:val="0"/>
          <w:sz w:val="16"/>
          <w:szCs w:val="16"/>
          <w:shd w:val="clear" w:color="auto" w:fill="FFFFFF"/>
        </w:rPr>
        <w:t>.</w:t>
      </w:r>
      <w:r w:rsidRPr="00BC5846">
        <w:rPr>
          <w:rFonts w:ascii="Times New Roman" w:hAnsi="Times New Roman" w:cs="Times New Roman"/>
          <w:b w:val="0"/>
          <w:sz w:val="16"/>
          <w:szCs w:val="16"/>
          <w:shd w:val="clear" w:color="auto" w:fill="FFFFFF"/>
        </w:rPr>
        <w:t>14,</w:t>
      </w:r>
      <w:r w:rsidRPr="00BC5846">
        <w:rPr>
          <w:rStyle w:val="apple-converted-space"/>
          <w:rFonts w:ascii="Times New Roman" w:hAnsi="Times New Roman" w:cs="Times New Roman"/>
          <w:b w:val="0"/>
          <w:sz w:val="16"/>
          <w:szCs w:val="16"/>
          <w:shd w:val="clear" w:color="auto" w:fill="FFFFFF"/>
        </w:rPr>
        <w:t> </w:t>
      </w:r>
      <w:r w:rsidRPr="00BC5846">
        <w:rPr>
          <w:rFonts w:ascii="Times New Roman" w:hAnsi="Times New Roman" w:cs="Times New Roman"/>
          <w:b w:val="0"/>
          <w:sz w:val="16"/>
          <w:szCs w:val="16"/>
          <w:shd w:val="clear" w:color="auto" w:fill="FFFFFF"/>
        </w:rPr>
        <w:t>105–113.</w:t>
      </w:r>
    </w:p>
    <w:p w:rsidR="002F4397" w:rsidRPr="008B0AD9" w:rsidRDefault="002F4397" w:rsidP="007E02F4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:rsidR="007E02F4" w:rsidRPr="008B0AD9" w:rsidRDefault="009F4638" w:rsidP="007E02F4">
      <w:pPr>
        <w:pStyle w:val="BodyText"/>
        <w:spacing w:line="40" w:lineRule="exact"/>
        <w:ind w:left="220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</w:r>
      <w:r>
        <w:rPr>
          <w:rFonts w:ascii="Times New Roman" w:hAnsi="Times New Roman" w:cs="Times New Roman"/>
          <w:noProof/>
          <w:sz w:val="20"/>
          <w:szCs w:val="20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7E02F4" w:rsidRPr="008B0AD9" w:rsidRDefault="00E17945" w:rsidP="007E02F4">
      <w:pPr>
        <w:spacing w:before="92"/>
        <w:ind w:right="4234"/>
        <w:rPr>
          <w:rFonts w:ascii="Times New Roman" w:hAnsi="Times New Roman" w:cs="Times New Roman"/>
          <w:sz w:val="20"/>
          <w:szCs w:val="20"/>
        </w:rPr>
      </w:pPr>
      <w:r w:rsidRPr="00E17945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>
            <wp:extent cx="483748" cy="619432"/>
            <wp:effectExtent l="19050" t="0" r="0" b="0"/>
            <wp:docPr id="4" name="Picture 5" descr="C:\Users\user\Desktop\DIPA DOCUMENT\IMG_8573 AYATUN NES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DIPA DOCUMENT\IMG_8573 AYATUN NESA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18" cy="6223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02F4" w:rsidRPr="008B0AD9">
        <w:rPr>
          <w:rFonts w:ascii="Times New Roman" w:hAnsi="Times New Roman" w:cs="Times New Roman"/>
          <w:color w:val="BF5A14"/>
          <w:sz w:val="20"/>
          <w:szCs w:val="20"/>
        </w:rPr>
        <w:t>Biography (150 word limit)</w:t>
      </w:r>
    </w:p>
    <w:p w:rsidR="00E17945" w:rsidRDefault="00E17945" w:rsidP="007E02F4">
      <w:pPr>
        <w:spacing w:before="41" w:line="154" w:lineRule="exact"/>
        <w:ind w:left="213" w:right="231"/>
        <w:jc w:val="both"/>
        <w:rPr>
          <w:rFonts w:ascii="Times New Roman" w:hAnsi="Times New Roman" w:cs="Times New Roman"/>
          <w:sz w:val="20"/>
          <w:szCs w:val="20"/>
        </w:rPr>
      </w:pPr>
    </w:p>
    <w:p w:rsidR="0065382A" w:rsidRDefault="00980491" w:rsidP="0065382A">
      <w:pPr>
        <w:spacing w:before="41" w:line="154" w:lineRule="exact"/>
        <w:ind w:right="231"/>
        <w:jc w:val="both"/>
        <w:rPr>
          <w:rFonts w:ascii="Times New Roman" w:hAnsi="Times New Roman" w:cs="Times New Roman"/>
          <w:sz w:val="16"/>
          <w:szCs w:val="16"/>
        </w:rPr>
      </w:pPr>
      <w:r w:rsidRPr="00DD42F3">
        <w:rPr>
          <w:rFonts w:ascii="Times New Roman" w:hAnsi="Times New Roman" w:cs="Times New Roman"/>
          <w:sz w:val="16"/>
          <w:szCs w:val="16"/>
        </w:rPr>
        <w:t>Dr. Ayatun Nesa is</w:t>
      </w:r>
      <w:r w:rsidR="00E17945" w:rsidRPr="00DD42F3">
        <w:rPr>
          <w:rFonts w:ascii="Times New Roman" w:hAnsi="Times New Roman" w:cs="Times New Roman"/>
          <w:sz w:val="16"/>
          <w:szCs w:val="16"/>
        </w:rPr>
        <w:t xml:space="preserve"> working as Associate Professor in the department of Laboratory Medicine, BIRDEM General Hospital, Dhaka, Bangladesh. </w:t>
      </w:r>
      <w:r w:rsidRPr="00DD42F3">
        <w:rPr>
          <w:rFonts w:ascii="Times New Roman" w:hAnsi="Times New Roman" w:cs="Times New Roman"/>
          <w:sz w:val="16"/>
          <w:szCs w:val="16"/>
        </w:rPr>
        <w:t xml:space="preserve">She has </w:t>
      </w:r>
      <w:r w:rsidR="0065382A">
        <w:rPr>
          <w:rFonts w:ascii="Times New Roman" w:hAnsi="Times New Roman" w:cs="Times New Roman"/>
          <w:sz w:val="16"/>
          <w:szCs w:val="16"/>
        </w:rPr>
        <w:t xml:space="preserve">received </w:t>
      </w:r>
      <w:r w:rsidRPr="00DD42F3">
        <w:rPr>
          <w:rFonts w:ascii="Times New Roman" w:hAnsi="Times New Roman" w:cs="Times New Roman"/>
          <w:sz w:val="16"/>
          <w:szCs w:val="16"/>
        </w:rPr>
        <w:t xml:space="preserve">MBBS degree from Moulana Bhashani Medical College under Dhaka University </w:t>
      </w:r>
      <w:r w:rsidR="00997EF9" w:rsidRPr="00DD42F3">
        <w:rPr>
          <w:rFonts w:ascii="Times New Roman" w:hAnsi="Times New Roman" w:cs="Times New Roman"/>
          <w:sz w:val="16"/>
          <w:szCs w:val="16"/>
        </w:rPr>
        <w:t xml:space="preserve">at 2004 </w:t>
      </w:r>
      <w:r w:rsidRPr="00DD42F3">
        <w:rPr>
          <w:rFonts w:ascii="Times New Roman" w:hAnsi="Times New Roman" w:cs="Times New Roman"/>
          <w:sz w:val="16"/>
          <w:szCs w:val="16"/>
        </w:rPr>
        <w:t>and M.Phil (Clinical P[athology)</w:t>
      </w:r>
      <w:r w:rsidR="00997EF9" w:rsidRPr="00DD42F3">
        <w:rPr>
          <w:rFonts w:ascii="Times New Roman" w:hAnsi="Times New Roman" w:cs="Times New Roman"/>
          <w:sz w:val="16"/>
          <w:szCs w:val="16"/>
        </w:rPr>
        <w:t xml:space="preserve"> degree from Banga Bandhu Sheikh Mujib Medical University at 2009.</w:t>
      </w:r>
      <w:r w:rsidRPr="00DD42F3">
        <w:rPr>
          <w:rFonts w:ascii="Times New Roman" w:hAnsi="Times New Roman" w:cs="Times New Roman"/>
          <w:sz w:val="16"/>
          <w:szCs w:val="16"/>
        </w:rPr>
        <w:t xml:space="preserve"> </w:t>
      </w:r>
      <w:r w:rsidR="00DD42F3" w:rsidRPr="00DD42F3">
        <w:rPr>
          <w:rFonts w:ascii="Times New Roman" w:hAnsi="Times New Roman" w:cs="Times New Roman"/>
          <w:sz w:val="16"/>
          <w:szCs w:val="16"/>
        </w:rPr>
        <w:t xml:space="preserve">She has built </w:t>
      </w:r>
      <w:r w:rsidR="00DD42F3">
        <w:rPr>
          <w:rFonts w:ascii="Times New Roman" w:hAnsi="Times New Roman" w:cs="Times New Roman"/>
          <w:sz w:val="16"/>
          <w:szCs w:val="16"/>
        </w:rPr>
        <w:t>her carrier in Laboratory Medicine</w:t>
      </w:r>
      <w:r w:rsidR="00DD42F3" w:rsidRPr="00DD42F3">
        <w:rPr>
          <w:rFonts w:ascii="Times New Roman" w:hAnsi="Times New Roman" w:cs="Times New Roman"/>
          <w:sz w:val="16"/>
          <w:szCs w:val="16"/>
        </w:rPr>
        <w:t xml:space="preserve"> </w:t>
      </w:r>
      <w:r w:rsidR="00DD42F3">
        <w:rPr>
          <w:rFonts w:ascii="Times New Roman" w:hAnsi="Times New Roman" w:cs="Times New Roman"/>
          <w:sz w:val="16"/>
          <w:szCs w:val="16"/>
        </w:rPr>
        <w:t>with</w:t>
      </w:r>
      <w:r w:rsidR="00DD42F3" w:rsidRPr="00DD42F3">
        <w:rPr>
          <w:rFonts w:ascii="Times New Roman" w:hAnsi="Times New Roman" w:cs="Times New Roman"/>
          <w:sz w:val="16"/>
          <w:szCs w:val="16"/>
        </w:rPr>
        <w:t xml:space="preserve"> experience in research, teaching and administration both in hospital and education institutions</w:t>
      </w:r>
      <w:r w:rsidR="00DD42F3">
        <w:rPr>
          <w:rFonts w:ascii="Times New Roman" w:hAnsi="Times New Roman" w:cs="Times New Roman"/>
          <w:sz w:val="16"/>
          <w:szCs w:val="16"/>
        </w:rPr>
        <w:t>.</w:t>
      </w:r>
      <w:r w:rsidR="00DD42F3" w:rsidRPr="00DD42F3">
        <w:rPr>
          <w:rFonts w:ascii="Times New Roman" w:hAnsi="Times New Roman" w:cs="Times New Roman"/>
          <w:sz w:val="16"/>
          <w:szCs w:val="16"/>
        </w:rPr>
        <w:t xml:space="preserve"> </w:t>
      </w:r>
      <w:r w:rsidR="00997EF9" w:rsidRPr="00DD42F3">
        <w:rPr>
          <w:rFonts w:ascii="Times New Roman" w:hAnsi="Times New Roman" w:cs="Times New Roman"/>
          <w:sz w:val="16"/>
          <w:szCs w:val="16"/>
        </w:rPr>
        <w:t xml:space="preserve">Her </w:t>
      </w:r>
      <w:r w:rsidR="00F46254" w:rsidRPr="00DD42F3">
        <w:rPr>
          <w:rFonts w:ascii="Times New Roman" w:hAnsi="Times New Roman" w:cs="Times New Roman"/>
          <w:sz w:val="16"/>
          <w:szCs w:val="16"/>
        </w:rPr>
        <w:t>research focus is primarily on cancer with special emphasis on understanding molecular events con</w:t>
      </w:r>
      <w:r w:rsidR="00DC2910" w:rsidRPr="00DD42F3">
        <w:rPr>
          <w:rFonts w:ascii="Times New Roman" w:hAnsi="Times New Roman" w:cs="Times New Roman"/>
          <w:sz w:val="16"/>
          <w:szCs w:val="16"/>
        </w:rPr>
        <w:t>tributing to the carcinogenesis.</w:t>
      </w:r>
      <w:r w:rsidR="00DD42F3">
        <w:rPr>
          <w:rFonts w:ascii="Times New Roman" w:hAnsi="Times New Roman" w:cs="Times New Roman"/>
          <w:sz w:val="16"/>
          <w:szCs w:val="16"/>
        </w:rPr>
        <w:t xml:space="preserve"> </w:t>
      </w:r>
      <w:r w:rsidR="000C715C">
        <w:rPr>
          <w:rFonts w:ascii="Times New Roman" w:hAnsi="Times New Roman" w:cs="Times New Roman"/>
          <w:sz w:val="16"/>
          <w:szCs w:val="16"/>
        </w:rPr>
        <w:t>she also</w:t>
      </w:r>
      <w:r w:rsidR="00DD42F3">
        <w:rPr>
          <w:rFonts w:ascii="Times New Roman" w:hAnsi="Times New Roman" w:cs="Times New Roman"/>
          <w:sz w:val="16"/>
          <w:szCs w:val="16"/>
        </w:rPr>
        <w:t xml:space="preserve"> took part in research on thalassemia. </w:t>
      </w:r>
      <w:r w:rsidR="000C715C">
        <w:rPr>
          <w:rFonts w:ascii="Times New Roman" w:hAnsi="Times New Roman" w:cs="Times New Roman"/>
          <w:sz w:val="16"/>
          <w:szCs w:val="16"/>
        </w:rPr>
        <w:t>Till date, he had</w:t>
      </w:r>
      <w:r w:rsidR="00DC2910" w:rsidRPr="00DD42F3">
        <w:rPr>
          <w:rFonts w:ascii="Times New Roman" w:hAnsi="Times New Roman" w:cs="Times New Roman"/>
          <w:sz w:val="16"/>
          <w:szCs w:val="16"/>
        </w:rPr>
        <w:t xml:space="preserve"> published </w:t>
      </w:r>
      <w:r w:rsidR="000C715C">
        <w:rPr>
          <w:rFonts w:ascii="Times New Roman" w:hAnsi="Times New Roman" w:cs="Times New Roman"/>
          <w:sz w:val="16"/>
          <w:szCs w:val="16"/>
        </w:rPr>
        <w:t xml:space="preserve">14 </w:t>
      </w:r>
      <w:r w:rsidR="00DC2910" w:rsidRPr="00DD42F3">
        <w:rPr>
          <w:rFonts w:ascii="Times New Roman" w:hAnsi="Times New Roman" w:cs="Times New Roman"/>
          <w:sz w:val="16"/>
          <w:szCs w:val="16"/>
        </w:rPr>
        <w:t xml:space="preserve">research </w:t>
      </w:r>
      <w:r w:rsidR="000C715C" w:rsidRPr="00DD42F3">
        <w:rPr>
          <w:rFonts w:ascii="Times New Roman" w:hAnsi="Times New Roman" w:cs="Times New Roman"/>
          <w:sz w:val="16"/>
          <w:szCs w:val="16"/>
        </w:rPr>
        <w:t>articles</w:t>
      </w:r>
      <w:r w:rsidR="00DC2910" w:rsidRPr="00DD42F3">
        <w:rPr>
          <w:rFonts w:ascii="Times New Roman" w:hAnsi="Times New Roman" w:cs="Times New Roman"/>
          <w:sz w:val="16"/>
          <w:szCs w:val="16"/>
        </w:rPr>
        <w:t xml:space="preserve"> in nati</w:t>
      </w:r>
      <w:r w:rsidR="0099005F" w:rsidRPr="00DD42F3">
        <w:rPr>
          <w:rFonts w:ascii="Times New Roman" w:hAnsi="Times New Roman" w:cs="Times New Roman"/>
          <w:sz w:val="16"/>
          <w:szCs w:val="16"/>
        </w:rPr>
        <w:t>onal and international journal</w:t>
      </w:r>
      <w:r w:rsidR="000C715C">
        <w:rPr>
          <w:rFonts w:ascii="Times New Roman" w:hAnsi="Times New Roman" w:cs="Times New Roman"/>
          <w:sz w:val="16"/>
          <w:szCs w:val="16"/>
        </w:rPr>
        <w:t>s</w:t>
      </w:r>
      <w:r w:rsidR="0099005F" w:rsidRPr="00DD42F3">
        <w:rPr>
          <w:rFonts w:ascii="Times New Roman" w:hAnsi="Times New Roman" w:cs="Times New Roman"/>
          <w:sz w:val="16"/>
          <w:szCs w:val="16"/>
        </w:rPr>
        <w:t>.</w:t>
      </w:r>
      <w:r w:rsidR="000C715C">
        <w:rPr>
          <w:rFonts w:ascii="Times New Roman" w:hAnsi="Times New Roman" w:cs="Times New Roman"/>
          <w:sz w:val="16"/>
          <w:szCs w:val="16"/>
        </w:rPr>
        <w:t xml:space="preserve"> She is</w:t>
      </w:r>
      <w:r w:rsidR="00DC2910" w:rsidRPr="00DD42F3">
        <w:rPr>
          <w:rFonts w:ascii="Times New Roman" w:hAnsi="Times New Roman" w:cs="Times New Roman"/>
          <w:sz w:val="16"/>
          <w:szCs w:val="16"/>
        </w:rPr>
        <w:t xml:space="preserve"> a member of many professional</w:t>
      </w:r>
      <w:r w:rsidR="0099005F" w:rsidRPr="00DD42F3">
        <w:rPr>
          <w:rFonts w:ascii="Times New Roman" w:hAnsi="Times New Roman" w:cs="Times New Roman"/>
          <w:sz w:val="16"/>
          <w:szCs w:val="16"/>
        </w:rPr>
        <w:t xml:space="preserve"> societies, including American S</w:t>
      </w:r>
      <w:r w:rsidR="00DC2910" w:rsidRPr="00DD42F3">
        <w:rPr>
          <w:rFonts w:ascii="Times New Roman" w:hAnsi="Times New Roman" w:cs="Times New Roman"/>
          <w:sz w:val="16"/>
          <w:szCs w:val="16"/>
        </w:rPr>
        <w:t xml:space="preserve">ociety of Biochemistry and Molecular Biology, American Society of Clinical Pathology, Bangladesh society of Pathologist and </w:t>
      </w:r>
      <w:r w:rsidR="000C715C">
        <w:rPr>
          <w:rFonts w:ascii="Times New Roman" w:hAnsi="Times New Roman" w:cs="Times New Roman"/>
          <w:sz w:val="16"/>
          <w:szCs w:val="16"/>
        </w:rPr>
        <w:t xml:space="preserve">now she is serving as </w:t>
      </w:r>
      <w:r w:rsidR="0065382A">
        <w:rPr>
          <w:rFonts w:ascii="Times New Roman" w:hAnsi="Times New Roman" w:cs="Times New Roman"/>
          <w:sz w:val="16"/>
          <w:szCs w:val="16"/>
        </w:rPr>
        <w:t>Joi</w:t>
      </w:r>
      <w:r w:rsidR="00FE56ED">
        <w:rPr>
          <w:rFonts w:ascii="Times New Roman" w:hAnsi="Times New Roman" w:cs="Times New Roman"/>
          <w:sz w:val="16"/>
          <w:szCs w:val="16"/>
        </w:rPr>
        <w:t xml:space="preserve">n secretary in the </w:t>
      </w:r>
      <w:r w:rsidR="00DC2910" w:rsidRPr="00DD42F3">
        <w:rPr>
          <w:rFonts w:ascii="Times New Roman" w:hAnsi="Times New Roman" w:cs="Times New Roman"/>
          <w:sz w:val="16"/>
          <w:szCs w:val="16"/>
        </w:rPr>
        <w:t>Society of Clinical Pathologist, Bangladesh.</w:t>
      </w:r>
    </w:p>
    <w:p w:rsidR="007E02F4" w:rsidRPr="0065382A" w:rsidRDefault="007E02F4" w:rsidP="0065382A">
      <w:pPr>
        <w:spacing w:before="41" w:line="154" w:lineRule="exact"/>
        <w:ind w:right="231"/>
        <w:jc w:val="center"/>
        <w:rPr>
          <w:rFonts w:ascii="Times New Roman" w:hAnsi="Times New Roman" w:cs="Times New Roman"/>
          <w:sz w:val="16"/>
          <w:szCs w:val="16"/>
        </w:rPr>
      </w:pPr>
      <w:r w:rsidRPr="008B0AD9">
        <w:rPr>
          <w:rFonts w:ascii="Times New Roman" w:hAnsi="Times New Roman" w:cs="Times New Roman"/>
          <w:sz w:val="20"/>
          <w:szCs w:val="20"/>
        </w:rPr>
        <w:t xml:space="preserve">Email: </w:t>
      </w:r>
      <w:hyperlink r:id="rId13" w:history="1">
        <w:r w:rsidR="0065382A" w:rsidRPr="009832F9">
          <w:rPr>
            <w:rStyle w:val="Hyperlink"/>
            <w:rFonts w:ascii="Times New Roman" w:hAnsi="Times New Roman" w:cs="Times New Roman"/>
            <w:sz w:val="20"/>
            <w:szCs w:val="20"/>
          </w:rPr>
          <w:t>dipa2801@yahoo.com</w:t>
        </w:r>
      </w:hyperlink>
    </w:p>
    <w:p w:rsidR="007E02F4" w:rsidRPr="008B0AD9" w:rsidRDefault="007E02F4" w:rsidP="007E02F4">
      <w:pPr>
        <w:rPr>
          <w:rFonts w:ascii="Times New Roman" w:hAnsi="Times New Roman" w:cs="Times New Roman"/>
          <w:sz w:val="20"/>
          <w:szCs w:val="20"/>
        </w:rPr>
        <w:sectPr w:rsidR="007E02F4" w:rsidRPr="008B0AD9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7E02F4" w:rsidRPr="008B0AD9" w:rsidRDefault="007E02F4" w:rsidP="007E02F4">
      <w:pPr>
        <w:pStyle w:val="BodyText"/>
        <w:spacing w:before="3"/>
        <w:rPr>
          <w:rFonts w:ascii="Times New Roman" w:hAnsi="Times New Roman" w:cs="Times New Roman"/>
          <w:sz w:val="20"/>
          <w:szCs w:val="20"/>
        </w:rPr>
      </w:pPr>
    </w:p>
    <w:p w:rsidR="002772F4" w:rsidRPr="008B0AD9" w:rsidRDefault="00D46101">
      <w:pPr>
        <w:rPr>
          <w:rFonts w:ascii="Times New Roman" w:hAnsi="Times New Roman" w:cs="Times New Roman"/>
          <w:sz w:val="20"/>
          <w:szCs w:val="20"/>
        </w:rPr>
      </w:pPr>
    </w:p>
    <w:sectPr w:rsidR="002772F4" w:rsidRPr="008B0AD9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6101" w:rsidRDefault="00D46101" w:rsidP="00E840A7">
      <w:r>
        <w:separator/>
      </w:r>
    </w:p>
  </w:endnote>
  <w:endnote w:type="continuationSeparator" w:id="1">
    <w:p w:rsidR="00D46101" w:rsidRDefault="00D46101" w:rsidP="00E840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altName w:val="Times"/>
    <w:panose1 w:val="02020603050405020304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9F4638">
    <w:pPr>
      <w:pStyle w:val="BodyText"/>
      <w:spacing w:line="14" w:lineRule="auto"/>
      <w:rPr>
        <w:sz w:val="20"/>
      </w:rPr>
    </w:pPr>
    <w:r w:rsidRPr="009F463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1" type="#_x0000_t202" style="position:absolute;margin-left:35pt;margin-top:798.8pt;width:168.2pt;height:19.6pt;z-index:-2516541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776721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776721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9F4638">
      <w:rPr>
        <w:noProof/>
      </w:rPr>
      <w:pict>
        <v:shape id="Text Box 2" o:spid="_x0000_s2052" type="#_x0000_t202" style="position:absolute;margin-left:252.1pt;margin-top:799.05pt;width:91.9pt;height:24.95pt;z-index:-25165312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776721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776721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9F4638">
      <w:rPr>
        <w:noProof/>
      </w:rPr>
      <w:pict>
        <v:shape id="Text Box 1" o:spid="_x0000_s2053" type="#_x0000_t202" style="position:absolute;margin-left:468.9pt;margin-top:798.8pt;width:91.4pt;height:26.05pt;z-index:-25165209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776721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776721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6101" w:rsidRDefault="00D46101" w:rsidP="00E840A7">
      <w:r>
        <w:separator/>
      </w:r>
    </w:p>
  </w:footnote>
  <w:footnote w:type="continuationSeparator" w:id="1">
    <w:p w:rsidR="00D46101" w:rsidRDefault="00D46101" w:rsidP="00E840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9F4638">
    <w:pPr>
      <w:pStyle w:val="BodyText"/>
      <w:spacing w:line="14" w:lineRule="auto"/>
      <w:rPr>
        <w:sz w:val="20"/>
      </w:rPr>
    </w:pPr>
    <w:r w:rsidRPr="009F463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49" type="#_x0000_t202" style="position:absolute;margin-left:416pt;margin-top:26.05pt;width:144.3pt;height:17.4pt;z-index:-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776721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9F4638">
      <w:rPr>
        <w:noProof/>
      </w:rPr>
      <w:pict>
        <v:shape id="Text Box 4" o:spid="_x0000_s2050" type="#_x0000_t202" style="position:absolute;margin-left:35pt;margin-top:48.3pt;width:515.95pt;height:40.1pt;z-index:-25165516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776721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776721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3FF438C3"/>
    <w:multiLevelType w:val="hybridMultilevel"/>
    <w:tmpl w:val="E068B3C0"/>
    <w:lvl w:ilvl="0" w:tplc="4CE460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1"/>
  <w:defaultTabStop w:val="720"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E02F4"/>
    <w:rsid w:val="000C715C"/>
    <w:rsid w:val="00162C0E"/>
    <w:rsid w:val="001915C4"/>
    <w:rsid w:val="002F4397"/>
    <w:rsid w:val="003D728D"/>
    <w:rsid w:val="0040410A"/>
    <w:rsid w:val="004B2B40"/>
    <w:rsid w:val="0050102A"/>
    <w:rsid w:val="00507B18"/>
    <w:rsid w:val="005A2CFF"/>
    <w:rsid w:val="0065382A"/>
    <w:rsid w:val="00776721"/>
    <w:rsid w:val="007D2823"/>
    <w:rsid w:val="007E02F4"/>
    <w:rsid w:val="00895D10"/>
    <w:rsid w:val="008B0AD9"/>
    <w:rsid w:val="009661D8"/>
    <w:rsid w:val="00980491"/>
    <w:rsid w:val="0099005F"/>
    <w:rsid w:val="00997EF9"/>
    <w:rsid w:val="009F4638"/>
    <w:rsid w:val="00AF1DCC"/>
    <w:rsid w:val="00BC5846"/>
    <w:rsid w:val="00C14146"/>
    <w:rsid w:val="00D2128E"/>
    <w:rsid w:val="00D46101"/>
    <w:rsid w:val="00D55749"/>
    <w:rsid w:val="00DC2910"/>
    <w:rsid w:val="00DD42F3"/>
    <w:rsid w:val="00E17945"/>
    <w:rsid w:val="00E453F5"/>
    <w:rsid w:val="00E840A7"/>
    <w:rsid w:val="00F46254"/>
    <w:rsid w:val="00FC4618"/>
    <w:rsid w:val="00FE56ED"/>
    <w:rsid w:val="00FF6B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E02F4"/>
    <w:pPr>
      <w:widowControl w:val="0"/>
      <w:spacing w:after="0" w:line="240" w:lineRule="auto"/>
    </w:pPr>
    <w:rPr>
      <w:rFonts w:ascii="Tw Cen MT" w:eastAsia="Tw Cen MT" w:hAnsi="Tw Cen MT" w:cs="Tw Cen MT"/>
    </w:rPr>
  </w:style>
  <w:style w:type="paragraph" w:styleId="Heading1">
    <w:name w:val="heading 1"/>
    <w:basedOn w:val="Normal"/>
    <w:link w:val="Heading1Char"/>
    <w:uiPriority w:val="1"/>
    <w:qFormat/>
    <w:rsid w:val="007E02F4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1"/>
    <w:qFormat/>
    <w:rsid w:val="007E02F4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E02F4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1"/>
    <w:rsid w:val="007E02F4"/>
    <w:rPr>
      <w:rFonts w:ascii="Arial" w:eastAsia="Arial" w:hAnsi="Arial" w:cs="Arial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7E02F4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7E02F4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1"/>
    <w:qFormat/>
    <w:rsid w:val="007E02F4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7E02F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02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02F4"/>
    <w:rPr>
      <w:rFonts w:ascii="Tahoma" w:eastAsia="Tw Cen MT" w:hAnsi="Tahoma" w:cs="Tahoma"/>
      <w:sz w:val="16"/>
      <w:szCs w:val="16"/>
    </w:rPr>
  </w:style>
  <w:style w:type="paragraph" w:customStyle="1" w:styleId="NormalWeb1">
    <w:name w:val="Normal (Web)1"/>
    <w:basedOn w:val="Normal"/>
    <w:rsid w:val="008B0AD9"/>
    <w:pPr>
      <w:widowControl/>
      <w:spacing w:after="150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pple-converted-space">
    <w:name w:val="apple-converted-space"/>
    <w:basedOn w:val="DefaultParagraphFont"/>
    <w:rsid w:val="008B0AD9"/>
  </w:style>
  <w:style w:type="paragraph" w:customStyle="1" w:styleId="Default">
    <w:name w:val="Default"/>
    <w:rsid w:val="00162C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2">
    <w:name w:val="A2"/>
    <w:uiPriority w:val="99"/>
    <w:rsid w:val="007D2823"/>
    <w:rPr>
      <w:rFonts w:cs="Times"/>
      <w:color w:val="000000"/>
      <w:sz w:val="20"/>
      <w:szCs w:val="20"/>
    </w:rPr>
  </w:style>
  <w:style w:type="paragraph" w:customStyle="1" w:styleId="Body">
    <w:name w:val="Body"/>
    <w:rsid w:val="00E453F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</w:rPr>
  </w:style>
  <w:style w:type="table" w:customStyle="1" w:styleId="LightShading1">
    <w:name w:val="Light Shading1"/>
    <w:basedOn w:val="TableNormal"/>
    <w:uiPriority w:val="60"/>
    <w:rsid w:val="00E453F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color w:val="000000" w:themeColor="text1" w:themeShade="BF"/>
      <w:sz w:val="20"/>
      <w:szCs w:val="20"/>
      <w:bdr w:val="nil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Emphasis">
    <w:name w:val="Emphasis"/>
    <w:basedOn w:val="DefaultParagraphFont"/>
    <w:uiPriority w:val="20"/>
    <w:qFormat/>
    <w:rsid w:val="002F4397"/>
    <w:rPr>
      <w:i/>
      <w:iCs/>
    </w:rPr>
  </w:style>
  <w:style w:type="character" w:customStyle="1" w:styleId="citation-publication-date">
    <w:name w:val="citation-publication-date"/>
    <w:basedOn w:val="DefaultParagraphFont"/>
    <w:rsid w:val="002F4397"/>
  </w:style>
  <w:style w:type="character" w:customStyle="1" w:styleId="doi">
    <w:name w:val="doi"/>
    <w:basedOn w:val="DefaultParagraphFont"/>
    <w:rsid w:val="002F4397"/>
  </w:style>
  <w:style w:type="character" w:customStyle="1" w:styleId="field-content">
    <w:name w:val="field-content"/>
    <w:basedOn w:val="DefaultParagraphFont"/>
    <w:rsid w:val="002F4397"/>
  </w:style>
  <w:style w:type="character" w:customStyle="1" w:styleId="views-label">
    <w:name w:val="views-label"/>
    <w:basedOn w:val="DefaultParagraphFont"/>
    <w:rsid w:val="002F439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dipa2801@yahoo.co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cbi.nlm.nih.gov/pmc/articles/PMC3785708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doi.org/10.1093/aje/kwu11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4238/gmr18296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726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2019-12-10T05:17:00Z</dcterms:created>
  <dcterms:modified xsi:type="dcterms:W3CDTF">2019-12-11T07:07:00Z</dcterms:modified>
</cp:coreProperties>
</file>