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A0F" w:rsidRPr="002F5BB1" w:rsidRDefault="00226A0F" w:rsidP="002F5BB1">
      <w:pPr>
        <w:spacing w:after="200" w:line="276" w:lineRule="auto"/>
        <w:jc w:val="center"/>
        <w:rPr>
          <w:b/>
          <w:bCs/>
          <w:sz w:val="28"/>
          <w:lang w:val="en-US"/>
        </w:rPr>
      </w:pPr>
      <w:r w:rsidRPr="002F5BB1">
        <w:rPr>
          <w:b/>
          <w:bCs/>
          <w:sz w:val="28"/>
          <w:lang w:val="en-US"/>
        </w:rPr>
        <w:t>Mineral and bone disorders in chronic hemodialysis and evaluation of adherence to the KDIGO 2017 recommendation: multicenter study</w:t>
      </w:r>
    </w:p>
    <w:p w:rsidR="00226A0F" w:rsidRPr="002F5BB1" w:rsidRDefault="00226A0F" w:rsidP="00A40518">
      <w:pPr>
        <w:spacing w:after="200" w:line="276" w:lineRule="auto"/>
        <w:rPr>
          <w:b/>
          <w:bCs/>
          <w:lang w:val="en-US"/>
        </w:rPr>
      </w:pPr>
    </w:p>
    <w:p w:rsidR="00226A0F" w:rsidRPr="002F5BB1" w:rsidRDefault="00A40518" w:rsidP="00A40518">
      <w:pPr>
        <w:spacing w:after="200" w:line="276" w:lineRule="auto"/>
        <w:rPr>
          <w:lang w:val="en-US"/>
        </w:rPr>
      </w:pPr>
      <w:r w:rsidRPr="002F5BB1">
        <w:rPr>
          <w:b/>
          <w:bCs/>
          <w:lang w:val="en-US"/>
        </w:rPr>
        <w:t>Introduction:</w:t>
      </w:r>
      <w:r w:rsidRPr="002F5BB1">
        <w:rPr>
          <w:lang w:val="en-US"/>
        </w:rPr>
        <w:t xml:space="preserve"> </w:t>
      </w:r>
    </w:p>
    <w:p w:rsidR="00D27729" w:rsidRPr="002F5BB1" w:rsidRDefault="00226A0F" w:rsidP="002F5BB1">
      <w:pPr>
        <w:spacing w:after="200" w:line="276" w:lineRule="auto"/>
        <w:ind w:firstLine="708"/>
        <w:rPr>
          <w:lang w:val="en-US"/>
        </w:rPr>
      </w:pPr>
      <w:r w:rsidRPr="002F5BB1">
        <w:rPr>
          <w:bCs/>
          <w:lang w:val="en-US"/>
        </w:rPr>
        <w:t>Mineral and bone disorders</w:t>
      </w:r>
      <w:r w:rsidRPr="002F5BB1">
        <w:rPr>
          <w:lang w:val="en-US"/>
        </w:rPr>
        <w:t xml:space="preserve"> </w:t>
      </w:r>
      <w:r w:rsidR="002F5BB1">
        <w:rPr>
          <w:lang w:val="en-US"/>
        </w:rPr>
        <w:t>(BMD)</w:t>
      </w:r>
      <w:r w:rsidRPr="002F5BB1">
        <w:rPr>
          <w:lang w:val="en-US"/>
        </w:rPr>
        <w:t xml:space="preserve"> </w:t>
      </w:r>
      <w:r w:rsidR="00A40518" w:rsidRPr="002F5BB1">
        <w:rPr>
          <w:lang w:val="en-US"/>
        </w:rPr>
        <w:t>are common in chronic hemodialysis, clinical complications and their impact on the prognosis justify prevention and appropriate treatment.</w:t>
      </w:r>
    </w:p>
    <w:p w:rsidR="00A40518" w:rsidRPr="002F5BB1" w:rsidRDefault="00A40518" w:rsidP="00A40518">
      <w:pPr>
        <w:spacing w:after="200" w:line="276" w:lineRule="auto"/>
        <w:rPr>
          <w:lang w:val="en-US"/>
        </w:rPr>
      </w:pPr>
      <w:r w:rsidRPr="002F5BB1">
        <w:rPr>
          <w:lang w:val="en-US"/>
        </w:rPr>
        <w:t xml:space="preserve"> The objective of our study is to determine the calcium phosphate status and the prevalence of BMD in our chronic hemodialysis patients and to assess the degree of adherence to recommendations KDIGO 2017 </w:t>
      </w:r>
    </w:p>
    <w:p w:rsidR="00D27729" w:rsidRPr="002F5BB1" w:rsidRDefault="002F5BB1" w:rsidP="00A40518">
      <w:pPr>
        <w:spacing w:after="200" w:line="276" w:lineRule="auto"/>
        <w:rPr>
          <w:lang w:val="en-US"/>
        </w:rPr>
      </w:pPr>
      <w:r w:rsidRPr="002F5BB1">
        <w:rPr>
          <w:b/>
          <w:bCs/>
          <w:lang w:val="en-US"/>
        </w:rPr>
        <w:t>Methods:</w:t>
      </w:r>
      <w:r w:rsidR="00A40518" w:rsidRPr="002F5BB1">
        <w:rPr>
          <w:lang w:val="en-US"/>
        </w:rPr>
        <w:t xml:space="preserve"> </w:t>
      </w:r>
    </w:p>
    <w:p w:rsidR="00A40518" w:rsidRPr="002F5BB1" w:rsidRDefault="00A40518" w:rsidP="00A40518">
      <w:pPr>
        <w:spacing w:after="200" w:line="276" w:lineRule="auto"/>
        <w:rPr>
          <w:lang w:val="en-US"/>
        </w:rPr>
      </w:pPr>
      <w:r w:rsidRPr="002F5BB1">
        <w:rPr>
          <w:lang w:val="en-US"/>
        </w:rPr>
        <w:t xml:space="preserve">We conducted a retrospective multicenter study area CASABLANCA-SETTAT, </w:t>
      </w:r>
      <w:r w:rsidRPr="002F5BB1">
        <w:rPr>
          <w:rFonts w:eastAsia="Calibri"/>
          <w:lang w:val="en-US"/>
        </w:rPr>
        <w:t xml:space="preserve">including 658 </w:t>
      </w:r>
      <w:r w:rsidRPr="002F5BB1">
        <w:rPr>
          <w:lang w:val="en-US"/>
        </w:rPr>
        <w:t>hemodialysis patients</w:t>
      </w:r>
      <w:r w:rsidRPr="002F5BB1">
        <w:rPr>
          <w:rFonts w:eastAsia="LucidaSansUnicode"/>
          <w:lang w:val="en-US"/>
        </w:rPr>
        <w:t>,</w:t>
      </w:r>
      <w:r w:rsidRPr="002F5BB1">
        <w:rPr>
          <w:lang w:val="en-US"/>
        </w:rPr>
        <w:t xml:space="preserve"> </w:t>
      </w:r>
    </w:p>
    <w:p w:rsidR="00D27729" w:rsidRPr="002F5BB1" w:rsidRDefault="00A40518" w:rsidP="00A40518">
      <w:pPr>
        <w:spacing w:after="200" w:line="276" w:lineRule="auto"/>
        <w:rPr>
          <w:lang w:val="en-US"/>
        </w:rPr>
      </w:pPr>
      <w:r w:rsidRPr="002F5BB1">
        <w:rPr>
          <w:b/>
          <w:bCs/>
          <w:lang w:val="en-US"/>
        </w:rPr>
        <w:t>Results</w:t>
      </w:r>
      <w:r w:rsidRPr="002F5BB1">
        <w:rPr>
          <w:lang w:val="en-US"/>
        </w:rPr>
        <w:t>:</w:t>
      </w:r>
    </w:p>
    <w:p w:rsidR="00A40518" w:rsidRPr="002F5BB1" w:rsidRDefault="00A40518" w:rsidP="00A40518">
      <w:pPr>
        <w:spacing w:after="200" w:line="276" w:lineRule="auto"/>
        <w:rPr>
          <w:lang w:val="en-US"/>
        </w:rPr>
      </w:pPr>
      <w:r w:rsidRPr="002F5BB1">
        <w:rPr>
          <w:lang w:val="en-US"/>
        </w:rPr>
        <w:t xml:space="preserve">The average age of our patients was 49 +/- 14.6 years, with a male predominance, Causal nephropathy was undetermined in 48.3%, diabetes in 19.3% of cases, the average hemodialysis duration was 85 ± 54 month. Bone pain was present in 47.6% of patients. Arthralgia in 43.3% of cases, 15.6% of patients suffering from pruritus, while 24.3% of patients had conjunctivitis. Biologically, the mean serum calcium was 87.77 mg / l, the average </w:t>
      </w:r>
      <w:proofErr w:type="spellStart"/>
      <w:r w:rsidR="0097071A" w:rsidRPr="002F5BB1">
        <w:rPr>
          <w:lang w:val="en-US"/>
        </w:rPr>
        <w:t>phosphatemia</w:t>
      </w:r>
      <w:proofErr w:type="spellEnd"/>
      <w:r w:rsidRPr="002F5BB1">
        <w:rPr>
          <w:lang w:val="en-US"/>
        </w:rPr>
        <w:t xml:space="preserve"> was 46.85 mg / l, the average PTH was 489.29 </w:t>
      </w:r>
      <w:proofErr w:type="spellStart"/>
      <w:r w:rsidRPr="002F5BB1">
        <w:rPr>
          <w:lang w:val="en-US"/>
        </w:rPr>
        <w:t>pg</w:t>
      </w:r>
      <w:proofErr w:type="spellEnd"/>
      <w:r w:rsidRPr="002F5BB1">
        <w:rPr>
          <w:lang w:val="en-US"/>
        </w:rPr>
        <w:t xml:space="preserve"> / ml. Therapeutically, calcium supplementation was prescribed in 78.8% of the cases, 30.5% of pat</w:t>
      </w:r>
      <w:r w:rsidR="00226A0F" w:rsidRPr="002F5BB1">
        <w:rPr>
          <w:lang w:val="en-US"/>
        </w:rPr>
        <w:t xml:space="preserve">ients received </w:t>
      </w:r>
      <w:r w:rsidRPr="002F5BB1">
        <w:rPr>
          <w:lang w:val="en-US"/>
        </w:rPr>
        <w:t>vitamin D</w:t>
      </w:r>
      <w:r w:rsidR="00226A0F" w:rsidRPr="002F5BB1">
        <w:rPr>
          <w:lang w:val="en-US"/>
        </w:rPr>
        <w:t xml:space="preserve"> derivatives</w:t>
      </w:r>
      <w:r w:rsidRPr="002F5BB1">
        <w:rPr>
          <w:lang w:val="en-US"/>
        </w:rPr>
        <w:t>,</w:t>
      </w:r>
      <w:r w:rsidR="00226A0F" w:rsidRPr="002F5BB1">
        <w:rPr>
          <w:lang w:val="en-US"/>
        </w:rPr>
        <w:t xml:space="preserve"> </w:t>
      </w:r>
      <w:r w:rsidR="0097071A" w:rsidRPr="002F5BB1">
        <w:rPr>
          <w:color w:val="222222"/>
          <w:shd w:val="clear" w:color="auto" w:fill="FFFFFF"/>
          <w:lang w:val="en-US"/>
        </w:rPr>
        <w:t>calcium‐free phosphate binders</w:t>
      </w:r>
      <w:r w:rsidR="0097071A" w:rsidRPr="002F5BB1">
        <w:rPr>
          <w:lang w:val="en-US"/>
        </w:rPr>
        <w:t xml:space="preserve"> </w:t>
      </w:r>
      <w:r w:rsidRPr="002F5BB1">
        <w:rPr>
          <w:lang w:val="en-US"/>
        </w:rPr>
        <w:t xml:space="preserve">were prescribed in 15% of patients, 5% of patients were treated with a </w:t>
      </w:r>
      <w:proofErr w:type="spellStart"/>
      <w:r w:rsidRPr="002F5BB1">
        <w:rPr>
          <w:lang w:val="en-US"/>
        </w:rPr>
        <w:t>calcimimetic</w:t>
      </w:r>
      <w:proofErr w:type="spellEnd"/>
      <w:r w:rsidRPr="002F5BB1">
        <w:rPr>
          <w:lang w:val="en-US"/>
        </w:rPr>
        <w:t xml:space="preserve">. And 7% by </w:t>
      </w:r>
      <w:proofErr w:type="spellStart"/>
      <w:r w:rsidRPr="002F5BB1">
        <w:rPr>
          <w:lang w:val="en-US"/>
        </w:rPr>
        <w:t>parathyroidectomy</w:t>
      </w:r>
      <w:proofErr w:type="spellEnd"/>
      <w:r w:rsidRPr="002F5BB1">
        <w:rPr>
          <w:lang w:val="en-US"/>
        </w:rPr>
        <w:t>. The 3 targets recommended by KDIGO were achieved in only 29.3% of patients.</w:t>
      </w:r>
    </w:p>
    <w:p w:rsidR="00D27729" w:rsidRPr="002F5BB1" w:rsidRDefault="00A40518" w:rsidP="00A40518">
      <w:pPr>
        <w:spacing w:after="200" w:line="276" w:lineRule="auto"/>
        <w:rPr>
          <w:b/>
          <w:lang w:val="en-US"/>
        </w:rPr>
      </w:pPr>
      <w:r w:rsidRPr="002F5BB1">
        <w:rPr>
          <w:b/>
          <w:lang w:val="en-US"/>
        </w:rPr>
        <w:t xml:space="preserve">conclusions: </w:t>
      </w:r>
    </w:p>
    <w:p w:rsidR="00765D89" w:rsidRDefault="001C44AC" w:rsidP="00765D89">
      <w:pPr>
        <w:spacing w:after="200" w:line="276" w:lineRule="auto"/>
        <w:rPr>
          <w:lang w:val="en-US"/>
        </w:rPr>
      </w:pPr>
      <w:r w:rsidRPr="002F5BB1">
        <w:rPr>
          <w:lang w:val="en-US"/>
        </w:rPr>
        <w:t>It appears</w:t>
      </w:r>
      <w:r w:rsidR="00765D89" w:rsidRPr="002F5BB1">
        <w:rPr>
          <w:lang w:val="en-US"/>
        </w:rPr>
        <w:t xml:space="preserve"> from this multicenter study, t</w:t>
      </w:r>
      <w:r w:rsidRPr="002F5BB1">
        <w:rPr>
          <w:lang w:val="en-US"/>
        </w:rPr>
        <w:t xml:space="preserve">hat </w:t>
      </w:r>
      <w:r w:rsidR="00765D89" w:rsidRPr="002F5BB1">
        <w:rPr>
          <w:lang w:val="en-US"/>
        </w:rPr>
        <w:t>our results are far from the targets recommended by the KDIGOs.</w:t>
      </w:r>
    </w:p>
    <w:p w:rsidR="00A61181" w:rsidRDefault="00A61181" w:rsidP="00765D89">
      <w:pPr>
        <w:spacing w:after="200" w:line="276" w:lineRule="auto"/>
        <w:rPr>
          <w:lang w:val="en-US"/>
        </w:rPr>
      </w:pPr>
    </w:p>
    <w:p w:rsidR="00A61181" w:rsidRPr="00A61181" w:rsidRDefault="00A61181" w:rsidP="00A61181">
      <w:pPr>
        <w:autoSpaceDE w:val="0"/>
        <w:autoSpaceDN w:val="0"/>
        <w:adjustRightInd w:val="0"/>
        <w:spacing w:after="160" w:line="259" w:lineRule="auto"/>
        <w:rPr>
          <w:rFonts w:eastAsiaTheme="minorHAnsi"/>
          <w:b/>
          <w:sz w:val="22"/>
          <w:szCs w:val="22"/>
          <w:lang w:val="en-NZ" w:eastAsia="en-US"/>
        </w:rPr>
      </w:pPr>
      <w:r w:rsidRPr="00A61181">
        <w:rPr>
          <w:rFonts w:eastAsiaTheme="minorHAnsi"/>
          <w:b/>
          <w:sz w:val="22"/>
          <w:szCs w:val="22"/>
          <w:lang w:val="en-NZ" w:eastAsia="en-US"/>
        </w:rPr>
        <w:t xml:space="preserve">Presenting author details </w:t>
      </w:r>
      <w:r w:rsidRPr="00A61181">
        <w:rPr>
          <w:rFonts w:eastAsiaTheme="minorHAnsi"/>
          <w:b/>
          <w:sz w:val="22"/>
          <w:szCs w:val="22"/>
          <w:lang w:val="en-NZ" w:eastAsia="en-US"/>
        </w:rPr>
        <w:br/>
      </w:r>
      <w:r w:rsidRPr="00A61181">
        <w:rPr>
          <w:rFonts w:eastAsiaTheme="minorHAnsi"/>
          <w:sz w:val="22"/>
          <w:szCs w:val="22"/>
          <w:lang w:val="en-NZ" w:eastAsia="en-US"/>
        </w:rPr>
        <w:t xml:space="preserve">Full name: </w:t>
      </w:r>
      <w:proofErr w:type="spellStart"/>
      <w:r w:rsidRPr="00A61181">
        <w:rPr>
          <w:rFonts w:eastAsiaTheme="minorHAnsi"/>
          <w:sz w:val="22"/>
          <w:szCs w:val="22"/>
          <w:lang w:val="en-NZ" w:eastAsia="en-US"/>
        </w:rPr>
        <w:t>sanae</w:t>
      </w:r>
      <w:proofErr w:type="spellEnd"/>
      <w:r w:rsidRPr="00A61181">
        <w:rPr>
          <w:rFonts w:eastAsiaTheme="minorHAnsi"/>
          <w:sz w:val="22"/>
          <w:szCs w:val="22"/>
          <w:lang w:val="en-NZ" w:eastAsia="en-US"/>
        </w:rPr>
        <w:t xml:space="preserve"> </w:t>
      </w:r>
      <w:proofErr w:type="spellStart"/>
      <w:r w:rsidRPr="00A61181">
        <w:rPr>
          <w:rFonts w:eastAsiaTheme="minorHAnsi"/>
          <w:sz w:val="22"/>
          <w:szCs w:val="22"/>
          <w:lang w:val="en-NZ" w:eastAsia="en-US"/>
        </w:rPr>
        <w:t>ezzaki</w:t>
      </w:r>
      <w:proofErr w:type="spellEnd"/>
      <w:r w:rsidRPr="00A61181">
        <w:rPr>
          <w:rFonts w:eastAsiaTheme="minorHAnsi"/>
          <w:sz w:val="22"/>
          <w:szCs w:val="22"/>
          <w:lang w:val="en-NZ" w:eastAsia="en-US"/>
        </w:rPr>
        <w:br/>
        <w:t>Contact number: 00212663409377</w:t>
      </w:r>
      <w:r w:rsidRPr="00A61181">
        <w:rPr>
          <w:rFonts w:eastAsiaTheme="minorHAnsi"/>
          <w:sz w:val="22"/>
          <w:szCs w:val="22"/>
          <w:lang w:val="en-NZ" w:eastAsia="en-US"/>
        </w:rPr>
        <w:br/>
        <w:t xml:space="preserve">Linked In account: </w:t>
      </w:r>
      <w:proofErr w:type="spellStart"/>
      <w:r w:rsidRPr="00A61181">
        <w:rPr>
          <w:rFonts w:eastAsiaTheme="minorHAnsi"/>
          <w:sz w:val="22"/>
          <w:szCs w:val="22"/>
          <w:lang w:val="en-NZ" w:eastAsia="en-US"/>
        </w:rPr>
        <w:t>ezzaki</w:t>
      </w:r>
      <w:proofErr w:type="spellEnd"/>
      <w:r w:rsidRPr="00A61181">
        <w:rPr>
          <w:rFonts w:eastAsiaTheme="minorHAnsi"/>
          <w:sz w:val="22"/>
          <w:szCs w:val="22"/>
          <w:lang w:val="en-NZ" w:eastAsia="en-US"/>
        </w:rPr>
        <w:t xml:space="preserve"> </w:t>
      </w:r>
      <w:proofErr w:type="spellStart"/>
      <w:r w:rsidRPr="00A61181">
        <w:rPr>
          <w:rFonts w:eastAsiaTheme="minorHAnsi"/>
          <w:sz w:val="22"/>
          <w:szCs w:val="22"/>
          <w:lang w:val="en-NZ" w:eastAsia="en-US"/>
        </w:rPr>
        <w:t>sanae</w:t>
      </w:r>
      <w:proofErr w:type="spellEnd"/>
      <w:r w:rsidRPr="00A61181">
        <w:rPr>
          <w:rFonts w:eastAsiaTheme="minorHAnsi"/>
          <w:sz w:val="22"/>
          <w:szCs w:val="22"/>
          <w:lang w:val="en-NZ" w:eastAsia="en-US"/>
        </w:rPr>
        <w:br/>
        <w:t>Category: Poster presentation</w:t>
      </w:r>
      <w:r w:rsidRPr="00A61181">
        <w:rPr>
          <w:rFonts w:eastAsiaTheme="minorHAnsi"/>
          <w:sz w:val="22"/>
          <w:szCs w:val="22"/>
          <w:lang w:val="en-NZ" w:eastAsia="en-US"/>
        </w:rPr>
        <w:br/>
      </w:r>
    </w:p>
    <w:p w:rsidR="00A61181" w:rsidRPr="00A61181" w:rsidRDefault="00A61181" w:rsidP="00A61181">
      <w:pPr>
        <w:autoSpaceDE w:val="0"/>
        <w:autoSpaceDN w:val="0"/>
        <w:adjustRightInd w:val="0"/>
        <w:spacing w:after="160" w:line="259" w:lineRule="auto"/>
        <w:rPr>
          <w:rFonts w:eastAsiaTheme="minorHAnsi"/>
          <w:sz w:val="22"/>
          <w:szCs w:val="22"/>
          <w:lang w:val="en-US" w:eastAsia="en-US"/>
        </w:rPr>
      </w:pPr>
    </w:p>
    <w:p w:rsidR="00A61181" w:rsidRPr="00A61181" w:rsidRDefault="00A61181" w:rsidP="00A61181">
      <w:pPr>
        <w:autoSpaceDE w:val="0"/>
        <w:autoSpaceDN w:val="0"/>
        <w:adjustRightInd w:val="0"/>
        <w:spacing w:after="160" w:line="259" w:lineRule="auto"/>
        <w:rPr>
          <w:rFonts w:eastAsiaTheme="minorHAnsi"/>
          <w:b/>
          <w:sz w:val="22"/>
          <w:szCs w:val="22"/>
          <w:lang w:val="en-US" w:eastAsia="en-US"/>
        </w:rPr>
      </w:pPr>
      <w:r w:rsidRPr="00A61181">
        <w:rPr>
          <w:rFonts w:eastAsiaTheme="minorHAnsi"/>
          <w:b/>
          <w:sz w:val="22"/>
          <w:szCs w:val="22"/>
          <w:lang w:val="en-US" w:eastAsia="en-US"/>
        </w:rPr>
        <w:t xml:space="preserve">Biography </w:t>
      </w:r>
    </w:p>
    <w:p w:rsidR="00A61181" w:rsidRPr="00A61181" w:rsidRDefault="00A61181" w:rsidP="00A61181">
      <w:pPr>
        <w:spacing w:line="259" w:lineRule="auto"/>
        <w:rPr>
          <w:rFonts w:eastAsiaTheme="minorHAnsi"/>
          <w:color w:val="000000" w:themeColor="text1"/>
          <w:sz w:val="22"/>
          <w:szCs w:val="22"/>
          <w:lang w:eastAsia="en-US"/>
        </w:rPr>
      </w:pPr>
      <w:proofErr w:type="spellStart"/>
      <w:r w:rsidRPr="00A61181">
        <w:rPr>
          <w:rFonts w:eastAsiaTheme="minorHAnsi"/>
          <w:color w:val="000000" w:themeColor="text1"/>
          <w:sz w:val="22"/>
          <w:szCs w:val="22"/>
          <w:lang w:val="en-US" w:eastAsia="en-US"/>
        </w:rPr>
        <w:t>Sanae</w:t>
      </w:r>
      <w:proofErr w:type="spellEnd"/>
      <w:r w:rsidRPr="00A61181">
        <w:rPr>
          <w:rFonts w:eastAsiaTheme="minorHAnsi"/>
          <w:color w:val="000000" w:themeColor="text1"/>
          <w:sz w:val="22"/>
          <w:szCs w:val="22"/>
          <w:lang w:val="en-US" w:eastAsia="en-US"/>
        </w:rPr>
        <w:t xml:space="preserve"> </w:t>
      </w:r>
      <w:proofErr w:type="spellStart"/>
      <w:r w:rsidRPr="00A61181">
        <w:rPr>
          <w:rFonts w:eastAsiaTheme="minorHAnsi"/>
          <w:color w:val="000000" w:themeColor="text1"/>
          <w:sz w:val="22"/>
          <w:szCs w:val="22"/>
          <w:lang w:val="en-US" w:eastAsia="en-US"/>
        </w:rPr>
        <w:t>ezzaki</w:t>
      </w:r>
      <w:proofErr w:type="spellEnd"/>
      <w:r w:rsidRPr="00A61181">
        <w:rPr>
          <w:rFonts w:eastAsiaTheme="minorHAnsi"/>
          <w:color w:val="000000" w:themeColor="text1"/>
          <w:sz w:val="22"/>
          <w:szCs w:val="22"/>
          <w:lang w:val="en-US" w:eastAsia="en-US"/>
        </w:rPr>
        <w:t xml:space="preserve"> graduated from the University of Medicine and Pharmacy of Rabat, Morocco (2016). She is currently resident in nephrology hemodialysis at the ibn </w:t>
      </w:r>
      <w:proofErr w:type="spellStart"/>
      <w:r w:rsidRPr="00A61181">
        <w:rPr>
          <w:rFonts w:eastAsiaTheme="minorHAnsi"/>
          <w:color w:val="000000" w:themeColor="text1"/>
          <w:sz w:val="22"/>
          <w:szCs w:val="22"/>
          <w:lang w:val="en-US" w:eastAsia="en-US"/>
        </w:rPr>
        <w:t>rochd</w:t>
      </w:r>
      <w:proofErr w:type="spellEnd"/>
      <w:r w:rsidRPr="00A61181">
        <w:rPr>
          <w:rFonts w:eastAsiaTheme="minorHAnsi"/>
          <w:color w:val="000000" w:themeColor="text1"/>
          <w:sz w:val="22"/>
          <w:szCs w:val="22"/>
          <w:lang w:val="en-US" w:eastAsia="en-US"/>
        </w:rPr>
        <w:t xml:space="preserve"> university and hospital center in Casablanca, Morocco. Dr. </w:t>
      </w:r>
      <w:proofErr w:type="spellStart"/>
      <w:r w:rsidRPr="00A61181">
        <w:rPr>
          <w:rFonts w:eastAsiaTheme="minorHAnsi"/>
          <w:color w:val="000000" w:themeColor="text1"/>
          <w:sz w:val="22"/>
          <w:szCs w:val="22"/>
          <w:lang w:val="en-US" w:eastAsia="en-US"/>
        </w:rPr>
        <w:t>Ezzaki</w:t>
      </w:r>
      <w:proofErr w:type="spellEnd"/>
      <w:r w:rsidRPr="00A61181">
        <w:rPr>
          <w:rFonts w:eastAsiaTheme="minorHAnsi"/>
          <w:color w:val="000000" w:themeColor="text1"/>
          <w:sz w:val="22"/>
          <w:szCs w:val="22"/>
          <w:lang w:val="en-US" w:eastAsia="en-US"/>
        </w:rPr>
        <w:t xml:space="preserve"> was currently following a clinical research pathway with numerous abstracts and case presentations while practicing as a resident physician. </w:t>
      </w:r>
      <w:proofErr w:type="spellStart"/>
      <w:r w:rsidRPr="00A61181">
        <w:rPr>
          <w:rFonts w:eastAsiaTheme="minorHAnsi"/>
          <w:color w:val="000000" w:themeColor="text1"/>
          <w:sz w:val="22"/>
          <w:szCs w:val="22"/>
          <w:lang w:eastAsia="en-US"/>
        </w:rPr>
        <w:t>She</w:t>
      </w:r>
      <w:proofErr w:type="spellEnd"/>
      <w:r w:rsidRPr="00A61181">
        <w:rPr>
          <w:rFonts w:eastAsiaTheme="minorHAnsi"/>
          <w:color w:val="000000" w:themeColor="text1"/>
          <w:sz w:val="22"/>
          <w:szCs w:val="22"/>
          <w:lang w:eastAsia="en-US"/>
        </w:rPr>
        <w:t xml:space="preserve"> has </w:t>
      </w:r>
      <w:proofErr w:type="spellStart"/>
      <w:r w:rsidRPr="00A61181">
        <w:rPr>
          <w:rFonts w:eastAsiaTheme="minorHAnsi"/>
          <w:color w:val="000000" w:themeColor="text1"/>
          <w:sz w:val="22"/>
          <w:szCs w:val="22"/>
          <w:lang w:eastAsia="en-US"/>
        </w:rPr>
        <w:t>participated</w:t>
      </w:r>
      <w:proofErr w:type="spellEnd"/>
      <w:r w:rsidRPr="00A61181">
        <w:rPr>
          <w:rFonts w:eastAsiaTheme="minorHAnsi"/>
          <w:color w:val="000000" w:themeColor="text1"/>
          <w:sz w:val="22"/>
          <w:szCs w:val="22"/>
          <w:lang w:eastAsia="en-US"/>
        </w:rPr>
        <w:t xml:space="preserve"> in national and international </w:t>
      </w:r>
      <w:proofErr w:type="spellStart"/>
      <w:r w:rsidRPr="00A61181">
        <w:rPr>
          <w:rFonts w:eastAsiaTheme="minorHAnsi"/>
          <w:color w:val="000000" w:themeColor="text1"/>
          <w:sz w:val="22"/>
          <w:szCs w:val="22"/>
          <w:lang w:eastAsia="en-US"/>
        </w:rPr>
        <w:t>conferences</w:t>
      </w:r>
      <w:proofErr w:type="spellEnd"/>
      <w:r w:rsidRPr="00A61181">
        <w:rPr>
          <w:rFonts w:eastAsiaTheme="minorHAnsi"/>
          <w:color w:val="000000" w:themeColor="text1"/>
          <w:sz w:val="22"/>
          <w:szCs w:val="22"/>
          <w:lang w:eastAsia="en-US"/>
        </w:rPr>
        <w:t xml:space="preserve"> on </w:t>
      </w:r>
      <w:proofErr w:type="spellStart"/>
      <w:r w:rsidRPr="00A61181">
        <w:rPr>
          <w:rFonts w:eastAsiaTheme="minorHAnsi"/>
          <w:color w:val="000000" w:themeColor="text1"/>
          <w:sz w:val="22"/>
          <w:szCs w:val="22"/>
          <w:lang w:eastAsia="en-US"/>
        </w:rPr>
        <w:t>nephrology</w:t>
      </w:r>
      <w:proofErr w:type="spellEnd"/>
    </w:p>
    <w:p w:rsidR="00A61181" w:rsidRPr="00A61181" w:rsidRDefault="00A61181" w:rsidP="00A61181">
      <w:pPr>
        <w:spacing w:after="160" w:line="259" w:lineRule="auto"/>
        <w:rPr>
          <w:rFonts w:eastAsiaTheme="minorHAnsi"/>
          <w:color w:val="000000"/>
          <w:lang w:val="en-US" w:eastAsia="en-US"/>
        </w:rPr>
      </w:pPr>
    </w:p>
    <w:p w:rsidR="00A61181" w:rsidRPr="002F5BB1" w:rsidRDefault="00A61181" w:rsidP="00765D89">
      <w:pPr>
        <w:spacing w:after="200" w:line="276" w:lineRule="auto"/>
        <w:rPr>
          <w:lang w:val="en-US"/>
        </w:rPr>
      </w:pPr>
      <w:bookmarkStart w:id="0" w:name="_GoBack"/>
      <w:bookmarkEnd w:id="0"/>
    </w:p>
    <w:sectPr w:rsidR="00A61181" w:rsidRPr="002F5BB1" w:rsidSect="00E216E7">
      <w:pgSz w:w="13041" w:h="18087"/>
      <w:pgMar w:top="1418" w:right="1418" w:bottom="1418" w:left="1418" w:header="284"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SansUnicode">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518"/>
    <w:rsid w:val="001C44AC"/>
    <w:rsid w:val="00226A0F"/>
    <w:rsid w:val="002F5BB1"/>
    <w:rsid w:val="00765D89"/>
    <w:rsid w:val="0097071A"/>
    <w:rsid w:val="00A40518"/>
    <w:rsid w:val="00A61181"/>
    <w:rsid w:val="00C51EF7"/>
    <w:rsid w:val="00D27729"/>
    <w:rsid w:val="00E216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947DF"/>
  <w15:chartTrackingRefBased/>
  <w15:docId w15:val="{7D1DF618-EF87-4D2E-9D47-E5D6E36D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0518"/>
    <w:pPr>
      <w:spacing w:after="0" w:line="240" w:lineRule="auto"/>
    </w:pPr>
    <w:rPr>
      <w:rFonts w:ascii="Times New Roman" w:eastAsia="Times New Roman" w:hAnsi="Times New Roman" w:cs="Times New Roman"/>
      <w:sz w:val="24"/>
      <w:szCs w:val="24"/>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344</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4</cp:revision>
  <dcterms:created xsi:type="dcterms:W3CDTF">2019-10-22T12:48:00Z</dcterms:created>
  <dcterms:modified xsi:type="dcterms:W3CDTF">2019-10-22T17:15:00Z</dcterms:modified>
</cp:coreProperties>
</file>