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51D9E">
        <w:rPr>
          <w:noProof/>
          <w:sz w:val="22"/>
          <w:szCs w:val="22"/>
          <w:lang w:val="en-US" w:eastAsia="en-US" w:bidi="fa-IR"/>
        </w:rPr>
        <w:drawing>
          <wp:inline distT="0" distB="0" distL="0" distR="0">
            <wp:extent cx="1424940" cy="1412875"/>
            <wp:effectExtent l="19050" t="0" r="381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E51D9E">
        <w:rPr>
          <w:rFonts w:ascii="TeXGyreHeros-Regular" w:cs="TeXGyreHeros-Regular"/>
          <w:lang w:val="en-US" w:eastAsia="en-US" w:bidi="fa-IR"/>
        </w:rPr>
        <w:t>Adipsic diabetes insipidus: a single center case series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E51D9E">
        <w:rPr>
          <w:rFonts w:eastAsia="MS PGothic" w:hAnsi="Arial"/>
          <w:color w:val="000000"/>
        </w:rPr>
        <w:t>Name: Sabzghabaei F.</w:t>
      </w:r>
    </w:p>
    <w:p w:rsidR="00AC3BCD" w:rsidRDefault="00AC3BCD" w:rsidP="00E51D9E">
      <w:pPr>
        <w:rPr>
          <w:rFonts w:eastAsia="Batang"/>
          <w:color w:val="0000FF"/>
          <w:sz w:val="36"/>
          <w:szCs w:val="36"/>
        </w:rPr>
      </w:pPr>
      <w:r>
        <w:rPr>
          <w:b/>
          <w:sz w:val="28"/>
          <w:szCs w:val="28"/>
        </w:rPr>
        <w:t xml:space="preserve">                     </w:t>
      </w:r>
      <w:r w:rsidR="00E51D9E" w:rsidRPr="00E51D9E">
        <w:rPr>
          <w:rFonts w:eastAsia="Batang"/>
          <w:color w:val="0000FF"/>
          <w:sz w:val="28"/>
          <w:szCs w:val="28"/>
        </w:rPr>
        <w:t>Iran University of Medical Science, Tehran, Iran</w:t>
      </w:r>
    </w:p>
    <w:p w:rsidR="00E51D9E" w:rsidRDefault="00E51D9E" w:rsidP="00E51D9E">
      <w:pPr>
        <w:autoSpaceDE w:val="0"/>
        <w:autoSpaceDN w:val="0"/>
        <w:adjustRightInd w:val="0"/>
        <w:rPr>
          <w:rFonts w:ascii="TeXGyreHeros-Regular" w:cs="TeXGyreHeros-Regular"/>
          <w:sz w:val="20"/>
          <w:szCs w:val="20"/>
          <w:lang w:val="en-US" w:eastAsia="en-US" w:bidi="fa-IR"/>
        </w:rPr>
      </w:pPr>
      <w:r>
        <w:rPr>
          <w:rFonts w:ascii="TeXGyreHeros-Regular" w:cs="TeXGyreHeros-Regular"/>
          <w:sz w:val="20"/>
          <w:szCs w:val="20"/>
          <w:lang w:val="en-US" w:eastAsia="en-US" w:bidi="fa-IR"/>
        </w:rPr>
        <w:t>Adipsic diabetes insipidus (ADI) is a rare and challenging complication secondary to several neurosurgical</w:t>
      </w:r>
    </w:p>
    <w:p w:rsidR="00E51D9E" w:rsidRDefault="00E51D9E" w:rsidP="00E51D9E">
      <w:pPr>
        <w:autoSpaceDE w:val="0"/>
        <w:autoSpaceDN w:val="0"/>
        <w:adjustRightInd w:val="0"/>
        <w:rPr>
          <w:rFonts w:ascii="TeXGyreHeros-Regular" w:cs="TeXGyreHeros-Regular"/>
          <w:sz w:val="20"/>
          <w:szCs w:val="20"/>
          <w:lang w:val="en-US" w:eastAsia="en-US" w:bidi="fa-IR"/>
        </w:rPr>
      </w:pPr>
      <w:r>
        <w:rPr>
          <w:rFonts w:ascii="TeXGyreHeros-Regular" w:cs="TeXGyreHeros-Regular"/>
          <w:sz w:val="20"/>
          <w:szCs w:val="20"/>
          <w:lang w:val="en-US" w:eastAsia="en-US" w:bidi="fa-IR"/>
        </w:rPr>
        <w:t>procedures. It can lead to severe hyperosmolarity and is associated with high rates of morbidity and mortality.</w:t>
      </w:r>
    </w:p>
    <w:p w:rsidR="00E51D9E" w:rsidRDefault="00E51D9E" w:rsidP="00E51D9E">
      <w:pPr>
        <w:autoSpaceDE w:val="0"/>
        <w:autoSpaceDN w:val="0"/>
        <w:adjustRightInd w:val="0"/>
        <w:rPr>
          <w:rFonts w:ascii="TeXGyreHeros-Regular" w:cs="TeXGyreHeros-Regular"/>
          <w:sz w:val="20"/>
          <w:szCs w:val="20"/>
          <w:lang w:val="en-US" w:eastAsia="en-US" w:bidi="fa-IR"/>
        </w:rPr>
      </w:pPr>
      <w:r>
        <w:rPr>
          <w:rFonts w:ascii="TeXGyreHeros-Regular" w:cs="TeXGyreHeros-Regular"/>
          <w:sz w:val="20"/>
          <w:szCs w:val="20"/>
          <w:lang w:val="en-US" w:eastAsia="en-US" w:bidi="fa-IR"/>
        </w:rPr>
        <w:t>Considering the variable time of thirst sensation recovery, long-term treatment is accompanied with the risk of</w:t>
      </w:r>
    </w:p>
    <w:p w:rsidR="00E51D9E" w:rsidRDefault="00E51D9E" w:rsidP="00E51D9E">
      <w:pPr>
        <w:autoSpaceDE w:val="0"/>
        <w:autoSpaceDN w:val="0"/>
        <w:adjustRightInd w:val="0"/>
        <w:rPr>
          <w:rFonts w:ascii="TeXGyreHeros-Regular" w:cs="TeXGyreHeros-Regular"/>
          <w:sz w:val="20"/>
          <w:szCs w:val="20"/>
          <w:lang w:val="en-US" w:eastAsia="en-US" w:bidi="fa-IR"/>
        </w:rPr>
      </w:pPr>
      <w:r>
        <w:rPr>
          <w:rFonts w:ascii="TeXGyreHeros-Regular" w:cs="TeXGyreHeros-Regular"/>
          <w:sz w:val="20"/>
          <w:szCs w:val="20"/>
          <w:lang w:val="en-US" w:eastAsia="en-US" w:bidi="fa-IR"/>
        </w:rPr>
        <w:t>extreme extracellular osmolality fluctuations. Herein, we report 3 cases of this rare presentation of hypothalamic</w:t>
      </w:r>
    </w:p>
    <w:p w:rsidR="00AC3BCD" w:rsidRDefault="00E51D9E" w:rsidP="00E51D9E">
      <w:pPr>
        <w:jc w:val="both"/>
        <w:rPr>
          <w:color w:val="000000"/>
        </w:rPr>
      </w:pPr>
      <w:r>
        <w:rPr>
          <w:rFonts w:ascii="TeXGyreHeros-Regular" w:cs="TeXGyreHeros-Regular"/>
          <w:sz w:val="20"/>
          <w:szCs w:val="20"/>
          <w:lang w:val="en-US" w:eastAsia="en-US" w:bidi="fa-IR"/>
        </w:rPr>
        <w:t>injury.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51D9E">
        <w:rPr>
          <w:lang w:val="en-NZ"/>
        </w:rPr>
        <w:t>Foroogh Sabzghabaei</w:t>
      </w:r>
      <w:r w:rsidRPr="008A690F">
        <w:rPr>
          <w:lang w:val="en-NZ"/>
        </w:rPr>
        <w:br/>
        <w:t>Contact number:</w:t>
      </w:r>
      <w:r w:rsidR="00E51D9E">
        <w:rPr>
          <w:lang w:val="en-NZ"/>
        </w:rPr>
        <w:t>00989123850222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</w:t>
      </w:r>
      <w:r w:rsidR="00E51D9E">
        <w:rPr>
          <w:lang w:val="en-NZ"/>
        </w:rPr>
        <w:t>gory: (Oral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391" w:rsidRDefault="00554391" w:rsidP="00671A59">
      <w:r>
        <w:separator/>
      </w:r>
    </w:p>
  </w:endnote>
  <w:endnote w:type="continuationSeparator" w:id="1">
    <w:p w:rsidR="00554391" w:rsidRDefault="00554391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00500000000000000"/>
    <w:charset w:val="01"/>
    <w:family w:val="auto"/>
    <w:pitch w:val="variable"/>
    <w:sig w:usb0="002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TeXGyreHeros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391" w:rsidRDefault="00554391" w:rsidP="00671A59">
      <w:r>
        <w:separator/>
      </w:r>
    </w:p>
  </w:footnote>
  <w:footnote w:type="continuationSeparator" w:id="1">
    <w:p w:rsidR="00554391" w:rsidRDefault="00554391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4391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51D9E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2018-01-16T07:31:00Z</dcterms:created>
  <dcterms:modified xsi:type="dcterms:W3CDTF">2018-01-16T07:31:00Z</dcterms:modified>
</cp:coreProperties>
</file>