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699" w:rsidRPr="004B01BA" w:rsidRDefault="004B01BA" w:rsidP="004B01BA">
      <w:pPr>
        <w:pStyle w:val="PargrafodaLista"/>
        <w:spacing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val="en-GB"/>
        </w:rPr>
      </w:pPr>
      <w:r w:rsidRPr="004B01BA">
        <w:rPr>
          <w:rFonts w:ascii="Times New Roman" w:eastAsia="MS PGothic" w:hAnsi="Times New Roman"/>
          <w:b/>
          <w:color w:val="000000"/>
          <w:sz w:val="28"/>
          <w:szCs w:val="28"/>
          <w:lang w:val="en-US"/>
        </w:rPr>
        <w:t xml:space="preserve">Title: </w:t>
      </w:r>
      <w:r w:rsidR="001F3699" w:rsidRPr="004B01BA">
        <w:rPr>
          <w:rFonts w:ascii="Times New Roman" w:hAnsi="Times New Roman"/>
          <w:bCs/>
          <w:sz w:val="28"/>
          <w:szCs w:val="28"/>
          <w:lang w:val="en-GB"/>
        </w:rPr>
        <w:t xml:space="preserve">Glyphosate-based herbicide induces growth of three cyanobacteria species and </w:t>
      </w:r>
      <w:proofErr w:type="spellStart"/>
      <w:r w:rsidR="001F3699" w:rsidRPr="004B01BA">
        <w:rPr>
          <w:rFonts w:ascii="Times New Roman" w:hAnsi="Times New Roman"/>
          <w:bCs/>
          <w:sz w:val="28"/>
          <w:szCs w:val="28"/>
          <w:lang w:val="en-GB"/>
        </w:rPr>
        <w:t>cytogenotoxic</w:t>
      </w:r>
      <w:proofErr w:type="spellEnd"/>
      <w:r w:rsidR="001F3699" w:rsidRPr="004B01BA">
        <w:rPr>
          <w:rFonts w:ascii="Times New Roman" w:hAnsi="Times New Roman"/>
          <w:bCs/>
          <w:sz w:val="28"/>
          <w:szCs w:val="28"/>
          <w:lang w:val="en-GB"/>
        </w:rPr>
        <w:t xml:space="preserve"> effects on guppy </w:t>
      </w:r>
      <w:r w:rsidR="001F3699" w:rsidRPr="004B01BA">
        <w:rPr>
          <w:rFonts w:ascii="Times New Roman" w:hAnsi="Times New Roman"/>
          <w:bCs/>
          <w:i/>
          <w:sz w:val="28"/>
          <w:szCs w:val="28"/>
          <w:lang w:val="en-GB"/>
        </w:rPr>
        <w:t>Poecilia reticulata</w:t>
      </w:r>
      <w:r w:rsidR="001F3699" w:rsidRPr="004B01BA">
        <w:rPr>
          <w:rFonts w:ascii="Times New Roman" w:hAnsi="Times New Roman"/>
          <w:b/>
          <w:bCs/>
          <w:sz w:val="28"/>
          <w:szCs w:val="28"/>
          <w:lang w:val="en-GB"/>
        </w:rPr>
        <w:t xml:space="preserve"> </w:t>
      </w:r>
    </w:p>
    <w:p w:rsidR="001F3699" w:rsidRPr="008F082B" w:rsidRDefault="001F3699" w:rsidP="001F3699">
      <w:pPr>
        <w:pStyle w:val="PargrafodaLista"/>
        <w:spacing w:line="480" w:lineRule="auto"/>
        <w:ind w:left="0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1F3699" w:rsidRPr="004B01BA" w:rsidRDefault="004B01BA" w:rsidP="004B01BA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pt-PT"/>
        </w:rPr>
      </w:pPr>
      <w:r w:rsidRPr="004B01BA">
        <w:rPr>
          <w:rFonts w:ascii="Times New Roman" w:hAnsi="Times New Roman"/>
          <w:sz w:val="24"/>
          <w:szCs w:val="24"/>
          <w:lang w:val="pt-PT"/>
        </w:rPr>
        <w:t xml:space="preserve">Name: </w:t>
      </w:r>
      <w:r w:rsidR="001F3699" w:rsidRPr="004B01BA">
        <w:rPr>
          <w:rFonts w:ascii="Times New Roman" w:hAnsi="Times New Roman"/>
          <w:sz w:val="24"/>
          <w:szCs w:val="24"/>
          <w:lang w:val="pt-PT"/>
        </w:rPr>
        <w:t>Antônio de Freitas Gonçalves Júnior</w:t>
      </w:r>
      <w:r w:rsidR="001F3699" w:rsidRPr="004B01BA">
        <w:rPr>
          <w:rFonts w:ascii="Times New Roman" w:hAnsi="Times New Roman"/>
          <w:sz w:val="24"/>
          <w:szCs w:val="24"/>
          <w:vertAlign w:val="superscript"/>
          <w:lang w:val="pt-PT"/>
        </w:rPr>
        <w:t>1</w:t>
      </w:r>
      <w:r w:rsidR="001F3699" w:rsidRPr="004B01BA">
        <w:rPr>
          <w:rFonts w:ascii="Times New Roman" w:hAnsi="Times New Roman"/>
          <w:sz w:val="24"/>
          <w:szCs w:val="24"/>
          <w:lang w:val="pt-PT"/>
        </w:rPr>
        <w:t>, Alex Lucas Hanusch</w:t>
      </w:r>
      <w:r w:rsidR="001F3699" w:rsidRPr="004B01BA">
        <w:rPr>
          <w:rFonts w:ascii="Times New Roman" w:hAnsi="Times New Roman"/>
          <w:sz w:val="24"/>
          <w:szCs w:val="24"/>
          <w:vertAlign w:val="superscript"/>
          <w:lang w:val="pt-PT"/>
        </w:rPr>
        <w:t>1</w:t>
      </w:r>
      <w:r w:rsidR="001F3699" w:rsidRPr="004B01BA">
        <w:rPr>
          <w:rFonts w:ascii="Times New Roman" w:hAnsi="Times New Roman"/>
          <w:sz w:val="24"/>
          <w:szCs w:val="24"/>
          <w:lang w:val="pt-PT"/>
        </w:rPr>
        <w:t>, Rafael Cosme Machado</w:t>
      </w:r>
      <w:r w:rsidR="001F3699" w:rsidRPr="004B01BA">
        <w:rPr>
          <w:rFonts w:ascii="Times New Roman" w:hAnsi="Times New Roman"/>
          <w:sz w:val="24"/>
          <w:szCs w:val="24"/>
          <w:vertAlign w:val="superscript"/>
          <w:lang w:val="pt-PT"/>
        </w:rPr>
        <w:t>1</w:t>
      </w:r>
      <w:r w:rsidR="001F3699" w:rsidRPr="004B01BA">
        <w:rPr>
          <w:rFonts w:ascii="Times New Roman" w:hAnsi="Times New Roman"/>
          <w:sz w:val="24"/>
          <w:szCs w:val="24"/>
          <w:lang w:val="pt-PT"/>
        </w:rPr>
        <w:t>, Thiago Lopes Rocha</w:t>
      </w:r>
      <w:r w:rsidR="001F3699" w:rsidRPr="004B01BA">
        <w:rPr>
          <w:rFonts w:ascii="Times New Roman" w:hAnsi="Times New Roman"/>
          <w:sz w:val="24"/>
          <w:szCs w:val="24"/>
          <w:vertAlign w:val="superscript"/>
          <w:lang w:val="pt-PT"/>
        </w:rPr>
        <w:t>1</w:t>
      </w:r>
      <w:r w:rsidR="001F3699" w:rsidRPr="004B01BA">
        <w:rPr>
          <w:rFonts w:ascii="Times New Roman" w:hAnsi="Times New Roman"/>
          <w:sz w:val="24"/>
          <w:szCs w:val="24"/>
          <w:lang w:val="pt-PT"/>
        </w:rPr>
        <w:t>, Gabriel Luís Castiglioni</w:t>
      </w:r>
      <w:r w:rsidR="001F3699" w:rsidRPr="004B01BA">
        <w:rPr>
          <w:rFonts w:ascii="Times New Roman" w:hAnsi="Times New Roman"/>
          <w:sz w:val="24"/>
          <w:szCs w:val="24"/>
          <w:vertAlign w:val="superscript"/>
          <w:lang w:val="pt-PT"/>
        </w:rPr>
        <w:t>2</w:t>
      </w:r>
      <w:r w:rsidR="001F3699" w:rsidRPr="004B01BA">
        <w:rPr>
          <w:rFonts w:ascii="Times New Roman" w:hAnsi="Times New Roman"/>
          <w:sz w:val="24"/>
          <w:szCs w:val="24"/>
          <w:lang w:val="pt-PT"/>
        </w:rPr>
        <w:t xml:space="preserve">, </w:t>
      </w:r>
      <w:r w:rsidR="001F3699" w:rsidRPr="004B01BA">
        <w:rPr>
          <w:rFonts w:ascii="Times New Roman" w:hAnsi="Times New Roman"/>
          <w:color w:val="222222"/>
          <w:sz w:val="24"/>
          <w:szCs w:val="24"/>
          <w:shd w:val="clear" w:color="auto" w:fill="FFFFFF"/>
          <w:lang w:val="pt-PT"/>
        </w:rPr>
        <w:t>Maria do Carmo Bittencourt-Oliveira</w:t>
      </w:r>
      <w:r w:rsidR="001F3699" w:rsidRPr="004B01BA">
        <w:rPr>
          <w:rFonts w:ascii="Times New Roman" w:hAnsi="Times New Roman"/>
          <w:sz w:val="24"/>
          <w:szCs w:val="24"/>
          <w:vertAlign w:val="superscript"/>
          <w:lang w:val="pt-PT"/>
        </w:rPr>
        <w:t>3</w:t>
      </w:r>
      <w:r w:rsidR="001F3699" w:rsidRPr="004B01BA">
        <w:rPr>
          <w:rFonts w:ascii="Times New Roman" w:hAnsi="Times New Roman"/>
          <w:sz w:val="24"/>
          <w:szCs w:val="24"/>
          <w:lang w:val="pt-PT"/>
        </w:rPr>
        <w:t xml:space="preserve">, </w:t>
      </w:r>
      <w:r w:rsidR="001F3699" w:rsidRPr="004B01BA">
        <w:rPr>
          <w:rFonts w:ascii="Times New Roman" w:hAnsi="Times New Roman"/>
          <w:sz w:val="24"/>
          <w:szCs w:val="24"/>
        </w:rPr>
        <w:t>Jayme Cunha Bastos</w:t>
      </w:r>
      <w:r w:rsidR="001F3699" w:rsidRPr="004B01BA">
        <w:rPr>
          <w:rFonts w:ascii="Times New Roman" w:hAnsi="Times New Roman"/>
          <w:sz w:val="24"/>
          <w:szCs w:val="24"/>
          <w:vertAlign w:val="superscript"/>
        </w:rPr>
        <w:t>4</w:t>
      </w:r>
      <w:r w:rsidR="001F3699" w:rsidRPr="004B01BA">
        <w:rPr>
          <w:rFonts w:ascii="Times New Roman" w:hAnsi="Times New Roman"/>
          <w:sz w:val="24"/>
          <w:szCs w:val="24"/>
        </w:rPr>
        <w:t xml:space="preserve">, </w:t>
      </w:r>
      <w:r w:rsidR="001F3699" w:rsidRPr="004B01BA">
        <w:rPr>
          <w:rFonts w:ascii="Times New Roman" w:hAnsi="Times New Roman"/>
          <w:sz w:val="24"/>
          <w:szCs w:val="24"/>
          <w:lang w:val="pt-PT"/>
        </w:rPr>
        <w:t>Simone Maria Teixeira de Sabóia-Morais</w:t>
      </w:r>
      <w:r w:rsidR="001F3699" w:rsidRPr="004B01BA">
        <w:rPr>
          <w:rFonts w:ascii="Times New Roman" w:hAnsi="Times New Roman"/>
          <w:sz w:val="24"/>
          <w:szCs w:val="24"/>
          <w:vertAlign w:val="superscript"/>
          <w:lang w:val="pt-PT"/>
        </w:rPr>
        <w:t>1</w:t>
      </w:r>
    </w:p>
    <w:p w:rsidR="001F3699" w:rsidRPr="004B01BA" w:rsidRDefault="001F3699" w:rsidP="001F3699">
      <w:pPr>
        <w:pStyle w:val="PargrafodaLista"/>
        <w:spacing w:line="480" w:lineRule="auto"/>
        <w:ind w:left="0"/>
        <w:jc w:val="both"/>
        <w:rPr>
          <w:rFonts w:ascii="Arial" w:hAnsi="Arial" w:cs="Arial"/>
          <w:sz w:val="24"/>
          <w:szCs w:val="24"/>
          <w:vertAlign w:val="superscript"/>
          <w:lang w:val="pt-PT"/>
        </w:rPr>
      </w:pPr>
    </w:p>
    <w:p w:rsidR="004B01BA" w:rsidRPr="004B01BA" w:rsidRDefault="001F3699" w:rsidP="004B01BA">
      <w:pPr>
        <w:pStyle w:val="SemEspaamento"/>
        <w:jc w:val="both"/>
        <w:rPr>
          <w:rFonts w:ascii="Times New Roman" w:hAnsi="Times New Roman"/>
          <w:sz w:val="24"/>
          <w:szCs w:val="24"/>
          <w:lang w:val="en-GB"/>
        </w:rPr>
      </w:pPr>
      <w:proofErr w:type="gramStart"/>
      <w:r w:rsidRPr="004B01BA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proofErr w:type="gramEnd"/>
      <w:r w:rsidRPr="004B01BA">
        <w:rPr>
          <w:rFonts w:ascii="Times New Roman" w:hAnsi="Times New Roman"/>
          <w:sz w:val="24"/>
          <w:szCs w:val="24"/>
          <w:lang w:val="en-GB"/>
        </w:rPr>
        <w:t xml:space="preserve"> Laboratory of Cellular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Behavior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, Biological Sciences Institute, Federal University of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Goiás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 (UFG),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Goiás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>, Brazil.</w:t>
      </w:r>
    </w:p>
    <w:p w:rsidR="001F3699" w:rsidRPr="004B01BA" w:rsidRDefault="001F3699" w:rsidP="004B01BA">
      <w:pPr>
        <w:pStyle w:val="SemEspaamento"/>
        <w:jc w:val="both"/>
        <w:rPr>
          <w:rFonts w:ascii="Times New Roman" w:hAnsi="Times New Roman"/>
          <w:sz w:val="24"/>
          <w:szCs w:val="24"/>
          <w:lang w:val="en-GB"/>
        </w:rPr>
      </w:pPr>
      <w:r w:rsidRPr="004B01BA">
        <w:rPr>
          <w:rFonts w:ascii="Times New Roman" w:hAnsi="Times New Roman"/>
          <w:sz w:val="24"/>
          <w:szCs w:val="24"/>
          <w:vertAlign w:val="superscript"/>
          <w:lang w:val="en-GB"/>
        </w:rPr>
        <w:t xml:space="preserve">2 </w:t>
      </w:r>
      <w:r w:rsidRPr="004B01BA">
        <w:rPr>
          <w:rFonts w:ascii="Times New Roman" w:hAnsi="Times New Roman"/>
          <w:color w:val="000000"/>
          <w:sz w:val="24"/>
          <w:szCs w:val="24"/>
          <w:lang w:val="en-GB"/>
        </w:rPr>
        <w:t xml:space="preserve">Laboratory of Biochemical Engineering of the College of Agronomy, 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Federal University of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Goiás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Goiás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>, Brazil.</w:t>
      </w:r>
      <w:r w:rsidRPr="004B01BA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4B01BA">
        <w:rPr>
          <w:rFonts w:ascii="Times New Roman" w:hAnsi="Times New Roman"/>
          <w:color w:val="FF0000"/>
          <w:sz w:val="24"/>
          <w:szCs w:val="24"/>
          <w:lang w:val="en-GB"/>
        </w:rPr>
        <w:t xml:space="preserve"> </w:t>
      </w:r>
    </w:p>
    <w:p w:rsidR="001F3699" w:rsidRPr="004B01BA" w:rsidRDefault="001F3699" w:rsidP="004B01BA">
      <w:pPr>
        <w:pStyle w:val="SemEspaamen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gramStart"/>
      <w:r w:rsidRPr="004B01BA">
        <w:rPr>
          <w:rFonts w:ascii="Times New Roman" w:hAnsi="Times New Roman"/>
          <w:sz w:val="24"/>
          <w:szCs w:val="24"/>
          <w:vertAlign w:val="superscript"/>
          <w:lang w:val="en-US"/>
        </w:rPr>
        <w:t>3</w:t>
      </w:r>
      <w:proofErr w:type="gramEnd"/>
      <w:r w:rsidRPr="004B01BA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Pr="004B01BA">
        <w:rPr>
          <w:rFonts w:ascii="Times New Roman" w:hAnsi="Times New Roman"/>
          <w:color w:val="000000"/>
          <w:sz w:val="24"/>
          <w:szCs w:val="24"/>
          <w:lang w:val="en-US"/>
        </w:rPr>
        <w:t xml:space="preserve">College of Agriculture Luiz de </w:t>
      </w:r>
      <w:proofErr w:type="spellStart"/>
      <w:r w:rsidRPr="004B01BA">
        <w:rPr>
          <w:rFonts w:ascii="Times New Roman" w:hAnsi="Times New Roman"/>
          <w:color w:val="000000"/>
          <w:sz w:val="24"/>
          <w:szCs w:val="24"/>
          <w:lang w:val="en-US"/>
        </w:rPr>
        <w:t>Queiroz</w:t>
      </w:r>
      <w:proofErr w:type="spellEnd"/>
      <w:r w:rsidRPr="004B01BA">
        <w:rPr>
          <w:rFonts w:ascii="Times New Roman" w:hAnsi="Times New Roman"/>
          <w:color w:val="000000"/>
          <w:sz w:val="24"/>
          <w:szCs w:val="24"/>
          <w:lang w:val="en-US"/>
        </w:rPr>
        <w:t>, University of São Paulo, ESALQ – USP.</w:t>
      </w:r>
    </w:p>
    <w:p w:rsidR="001F3699" w:rsidRPr="004B01BA" w:rsidRDefault="001F3699" w:rsidP="004B01BA">
      <w:pPr>
        <w:pStyle w:val="SemEspaamen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4B01BA">
        <w:rPr>
          <w:rFonts w:ascii="Times New Roman" w:hAnsi="Times New Roman"/>
          <w:sz w:val="24"/>
          <w:szCs w:val="24"/>
          <w:vertAlign w:val="superscript"/>
          <w:lang w:val="en-US"/>
        </w:rPr>
        <w:t>4</w:t>
      </w:r>
      <w:proofErr w:type="gramEnd"/>
      <w:r w:rsidRPr="004B01BA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Pr="004B01BA">
        <w:rPr>
          <w:rFonts w:ascii="Times New Roman" w:hAnsi="Times New Roman"/>
          <w:sz w:val="24"/>
          <w:szCs w:val="24"/>
          <w:lang w:val="en-US"/>
        </w:rPr>
        <w:t>Department of Biochemistry, Institute of Biology, State University of Rio de Janeiro, Brazil.</w:t>
      </w:r>
    </w:p>
    <w:p w:rsidR="001F3699" w:rsidRDefault="001F3699" w:rsidP="00400422">
      <w:pPr>
        <w:pStyle w:val="SemEspaamento"/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400422" w:rsidRDefault="00400422" w:rsidP="004B01BA">
      <w:pPr>
        <w:pStyle w:val="SemEspaamento"/>
        <w:ind w:firstLine="709"/>
        <w:jc w:val="both"/>
        <w:rPr>
          <w:rFonts w:ascii="Times New Roman" w:hAnsi="Times New Roman"/>
          <w:sz w:val="24"/>
          <w:szCs w:val="24"/>
          <w:lang w:val="en-GB"/>
        </w:rPr>
      </w:pPr>
      <w:r w:rsidRPr="004B01BA">
        <w:rPr>
          <w:rFonts w:ascii="Times New Roman" w:hAnsi="Times New Roman"/>
          <w:sz w:val="24"/>
          <w:szCs w:val="24"/>
          <w:lang w:val="en-GB"/>
        </w:rPr>
        <w:t xml:space="preserve">The organophosphate agrochemical glyphosate </w:t>
      </w:r>
      <w:proofErr w:type="gramStart"/>
      <w:r w:rsidRPr="004B01BA">
        <w:rPr>
          <w:rFonts w:ascii="Times New Roman" w:hAnsi="Times New Roman"/>
          <w:sz w:val="24"/>
          <w:szCs w:val="24"/>
          <w:lang w:val="en-GB"/>
        </w:rPr>
        <w:t>can be used</w:t>
      </w:r>
      <w:proofErr w:type="gramEnd"/>
      <w:r w:rsidRPr="004B01BA">
        <w:rPr>
          <w:rFonts w:ascii="Times New Roman" w:hAnsi="Times New Roman"/>
          <w:sz w:val="24"/>
          <w:szCs w:val="24"/>
          <w:lang w:val="en-GB"/>
        </w:rPr>
        <w:t xml:space="preserve"> as nutrient by cyanobacteria species capable of producing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cyanotoxins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>, which has been reported to toxic effects on vertebrates. The aim of this study was to compare the influence of a glyphosate-based herbicide (GBH) in the proliferation of three cyanobacteria species (</w:t>
      </w:r>
      <w:r w:rsidRPr="004B01BA">
        <w:rPr>
          <w:rFonts w:ascii="Times New Roman" w:hAnsi="Times New Roman"/>
          <w:i/>
          <w:sz w:val="24"/>
          <w:szCs w:val="24"/>
          <w:lang w:val="en-GB"/>
        </w:rPr>
        <w:t>Anabaena sp.,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4B01BA">
        <w:rPr>
          <w:rFonts w:ascii="Times New Roman" w:hAnsi="Times New Roman"/>
          <w:i/>
          <w:sz w:val="24"/>
          <w:szCs w:val="24"/>
          <w:lang w:val="en-GB"/>
        </w:rPr>
        <w:t>Cylindrospermopsis</w:t>
      </w:r>
      <w:proofErr w:type="spellEnd"/>
      <w:r w:rsidRPr="004B01BA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4B01BA">
        <w:rPr>
          <w:rFonts w:ascii="Times New Roman" w:hAnsi="Times New Roman"/>
          <w:i/>
          <w:sz w:val="24"/>
          <w:szCs w:val="24"/>
          <w:lang w:val="en-GB"/>
        </w:rPr>
        <w:t>raciborski</w:t>
      </w:r>
      <w:proofErr w:type="spellEnd"/>
      <w:r w:rsidRPr="004B01BA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 w:rsidRPr="004B01BA">
        <w:rPr>
          <w:rFonts w:ascii="Times New Roman" w:hAnsi="Times New Roman"/>
          <w:sz w:val="24"/>
          <w:szCs w:val="24"/>
          <w:lang w:val="en-GB"/>
        </w:rPr>
        <w:t>and</w:t>
      </w:r>
      <w:r w:rsidRPr="004B01BA">
        <w:rPr>
          <w:rFonts w:ascii="Times New Roman" w:hAnsi="Times New Roman"/>
          <w:i/>
          <w:sz w:val="24"/>
          <w:szCs w:val="24"/>
          <w:lang w:val="en-GB"/>
        </w:rPr>
        <w:t xml:space="preserve"> Microcystis aeruginosa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) and evaluate the toxicity of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microcystin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 and GBH in the female guppy </w:t>
      </w:r>
      <w:r w:rsidRPr="004B01BA">
        <w:rPr>
          <w:rFonts w:ascii="Times New Roman" w:hAnsi="Times New Roman"/>
          <w:i/>
          <w:sz w:val="24"/>
          <w:szCs w:val="24"/>
          <w:lang w:val="en-GB"/>
        </w:rPr>
        <w:t>Poecilia reticulata</w:t>
      </w:r>
      <w:r w:rsidRPr="004B01BA">
        <w:rPr>
          <w:rFonts w:ascii="Times New Roman" w:hAnsi="Times New Roman"/>
          <w:sz w:val="24"/>
          <w:szCs w:val="24"/>
          <w:lang w:val="en-GB"/>
        </w:rPr>
        <w:t>.</w:t>
      </w:r>
      <w:r w:rsidRPr="004B01BA">
        <w:rPr>
          <w:rFonts w:ascii="Times New Roman" w:hAnsi="Times New Roman"/>
          <w:color w:val="FF0000"/>
          <w:sz w:val="24"/>
          <w:szCs w:val="24"/>
          <w:lang w:val="en-GB"/>
        </w:rPr>
        <w:t xml:space="preserve"> 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Cyanobacteria strains </w:t>
      </w:r>
      <w:proofErr w:type="gramStart"/>
      <w:r w:rsidRPr="004B01BA">
        <w:rPr>
          <w:rFonts w:ascii="Times New Roman" w:hAnsi="Times New Roman"/>
          <w:sz w:val="24"/>
          <w:szCs w:val="24"/>
          <w:lang w:val="en-GB"/>
        </w:rPr>
        <w:t>were inoculated</w:t>
      </w:r>
      <w:proofErr w:type="gramEnd"/>
      <w:r w:rsidRPr="004B01BA">
        <w:rPr>
          <w:rFonts w:ascii="Times New Roman" w:hAnsi="Times New Roman"/>
          <w:sz w:val="24"/>
          <w:szCs w:val="24"/>
          <w:lang w:val="en-GB"/>
        </w:rPr>
        <w:t xml:space="preserve"> in culture medium with different concentrations of GBH (0.5, 1, 2 and 4 mg GLY L</w:t>
      </w:r>
      <w:r w:rsidRPr="004B01BA">
        <w:rPr>
          <w:rFonts w:ascii="Times New Roman" w:hAnsi="Times New Roman"/>
          <w:sz w:val="24"/>
          <w:szCs w:val="24"/>
          <w:vertAlign w:val="superscript"/>
          <w:lang w:val="en-GB"/>
        </w:rPr>
        <w:t>-1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) and the cyanobacteria density was quantified every 5 days of exposure. The </w:t>
      </w:r>
      <w:proofErr w:type="gramStart"/>
      <w:r w:rsidRPr="004B01BA">
        <w:rPr>
          <w:rFonts w:ascii="Times New Roman" w:hAnsi="Times New Roman"/>
          <w:sz w:val="24"/>
          <w:szCs w:val="24"/>
          <w:lang w:val="en-GB"/>
        </w:rPr>
        <w:t xml:space="preserve">evaluation of the GBH and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microcystin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 toxicity in </w:t>
      </w:r>
      <w:r w:rsidRPr="004B01BA">
        <w:rPr>
          <w:rFonts w:ascii="Times New Roman" w:hAnsi="Times New Roman"/>
          <w:i/>
          <w:sz w:val="24"/>
          <w:szCs w:val="24"/>
          <w:lang w:val="en-GB"/>
        </w:rPr>
        <w:t>P. reticulata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 was estimated by the determining of LC</w:t>
      </w:r>
      <w:r w:rsidRPr="004B01BA">
        <w:rPr>
          <w:rFonts w:ascii="Times New Roman" w:hAnsi="Times New Roman"/>
          <w:sz w:val="24"/>
          <w:szCs w:val="24"/>
          <w:vertAlign w:val="subscript"/>
          <w:lang w:val="en-GB"/>
        </w:rPr>
        <w:t>50/96h</w:t>
      </w:r>
      <w:r w:rsidRPr="004B01BA">
        <w:rPr>
          <w:rFonts w:ascii="Times New Roman" w:hAnsi="Times New Roman"/>
          <w:sz w:val="24"/>
          <w:szCs w:val="24"/>
          <w:lang w:val="en-GB"/>
        </w:rPr>
        <w:t>, behavioural analysis and estimation of micronuclei (MN) and nuclear alterations frequency</w:t>
      </w:r>
      <w:proofErr w:type="gramEnd"/>
      <w:r w:rsidRPr="004B01BA">
        <w:rPr>
          <w:rFonts w:ascii="Times New Roman" w:hAnsi="Times New Roman"/>
          <w:sz w:val="24"/>
          <w:szCs w:val="24"/>
          <w:lang w:val="en-GB"/>
        </w:rPr>
        <w:t xml:space="preserve">. The results showed that GBH induces a concentration-dependent increase of cyanobacteria growth and that </w:t>
      </w:r>
      <w:r w:rsidRPr="004B01BA">
        <w:rPr>
          <w:rFonts w:ascii="Times New Roman" w:hAnsi="Times New Roman"/>
          <w:i/>
          <w:sz w:val="24"/>
          <w:szCs w:val="24"/>
          <w:lang w:val="en-GB"/>
        </w:rPr>
        <w:t xml:space="preserve">C. raciborskii </w:t>
      </w:r>
      <w:r w:rsidRPr="004B01BA">
        <w:rPr>
          <w:rFonts w:ascii="Times New Roman" w:hAnsi="Times New Roman"/>
          <w:sz w:val="24"/>
          <w:szCs w:val="24"/>
          <w:lang w:val="en-GB"/>
        </w:rPr>
        <w:t>is the one that have faster growth. The GBH concentration of 4 mg L</w:t>
      </w:r>
      <w:r w:rsidRPr="004B01BA">
        <w:rPr>
          <w:rFonts w:ascii="Times New Roman" w:hAnsi="Times New Roman"/>
          <w:sz w:val="24"/>
          <w:szCs w:val="24"/>
          <w:vertAlign w:val="superscript"/>
          <w:lang w:val="en-GB"/>
        </w:rPr>
        <w:t>-1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 was the most effective for the cyanobacteria growth. The toxicological evaluation of GBH and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microcystin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 in </w:t>
      </w:r>
      <w:r w:rsidRPr="004B01BA">
        <w:rPr>
          <w:rFonts w:ascii="Times New Roman" w:hAnsi="Times New Roman"/>
          <w:i/>
          <w:sz w:val="24"/>
          <w:szCs w:val="24"/>
          <w:lang w:val="en-GB"/>
        </w:rPr>
        <w:t xml:space="preserve">P. reticulata </w:t>
      </w:r>
      <w:r w:rsidRPr="004B01BA">
        <w:rPr>
          <w:rFonts w:ascii="Times New Roman" w:hAnsi="Times New Roman"/>
          <w:sz w:val="24"/>
          <w:szCs w:val="24"/>
          <w:lang w:val="en-GB"/>
        </w:rPr>
        <w:t>showed a LC</w:t>
      </w:r>
      <w:r w:rsidRPr="004B01BA">
        <w:rPr>
          <w:rFonts w:ascii="Times New Roman" w:hAnsi="Times New Roman"/>
          <w:sz w:val="24"/>
          <w:szCs w:val="24"/>
          <w:vertAlign w:val="subscript"/>
          <w:lang w:val="en-GB"/>
        </w:rPr>
        <w:t>50/96h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 of 4.44 mg GLY L</w:t>
      </w:r>
      <w:r w:rsidRPr="004B01BA">
        <w:rPr>
          <w:rFonts w:ascii="Times New Roman" w:hAnsi="Times New Roman"/>
          <w:sz w:val="24"/>
          <w:szCs w:val="24"/>
          <w:vertAlign w:val="superscript"/>
          <w:lang w:val="en-GB"/>
        </w:rPr>
        <w:t>-1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 and 3.29 µg L</w:t>
      </w:r>
      <w:r w:rsidRPr="004B01BA">
        <w:rPr>
          <w:rFonts w:ascii="Times New Roman" w:hAnsi="Times New Roman"/>
          <w:sz w:val="24"/>
          <w:szCs w:val="24"/>
          <w:vertAlign w:val="superscript"/>
          <w:lang w:val="en-GB"/>
        </w:rPr>
        <w:t>-1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 respectively. Both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microcystin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 as GBH induced behavioural changes and increase of the MN and nuclear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erythrocytic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 alteration frequency in </w:t>
      </w:r>
      <w:r w:rsidRPr="004B01BA">
        <w:rPr>
          <w:rFonts w:ascii="Times New Roman" w:hAnsi="Times New Roman"/>
          <w:i/>
          <w:sz w:val="24"/>
          <w:szCs w:val="24"/>
          <w:lang w:val="en-GB"/>
        </w:rPr>
        <w:t>P. reticulata</w:t>
      </w:r>
      <w:r w:rsidRPr="004B01BA">
        <w:rPr>
          <w:rFonts w:ascii="Times New Roman" w:hAnsi="Times New Roman"/>
          <w:sz w:val="24"/>
          <w:szCs w:val="24"/>
          <w:lang w:val="en-GB"/>
        </w:rPr>
        <w:t xml:space="preserve">. We conclude that GBH increases the growth of cyanobacteria capable of producing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cyanotoxin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 and both GBH as </w:t>
      </w:r>
      <w:proofErr w:type="spellStart"/>
      <w:r w:rsidRPr="004B01BA">
        <w:rPr>
          <w:rFonts w:ascii="Times New Roman" w:hAnsi="Times New Roman"/>
          <w:sz w:val="24"/>
          <w:szCs w:val="24"/>
          <w:lang w:val="en-GB"/>
        </w:rPr>
        <w:t>microcystin</w:t>
      </w:r>
      <w:proofErr w:type="spellEnd"/>
      <w:r w:rsidRPr="004B01BA">
        <w:rPr>
          <w:rFonts w:ascii="Times New Roman" w:hAnsi="Times New Roman"/>
          <w:sz w:val="24"/>
          <w:szCs w:val="24"/>
          <w:lang w:val="en-GB"/>
        </w:rPr>
        <w:t xml:space="preserve"> induced toxic effect on </w:t>
      </w:r>
      <w:r w:rsidRPr="004B01BA">
        <w:rPr>
          <w:rFonts w:ascii="Times New Roman" w:hAnsi="Times New Roman"/>
          <w:i/>
          <w:sz w:val="24"/>
          <w:szCs w:val="24"/>
          <w:lang w:val="en-GB"/>
        </w:rPr>
        <w:t>P. reticulata</w:t>
      </w:r>
      <w:r w:rsidRPr="004B01BA">
        <w:rPr>
          <w:rFonts w:ascii="Times New Roman" w:hAnsi="Times New Roman"/>
          <w:sz w:val="24"/>
          <w:szCs w:val="24"/>
          <w:lang w:val="en-GB"/>
        </w:rPr>
        <w:t>.</w:t>
      </w:r>
    </w:p>
    <w:p w:rsidR="004B01BA" w:rsidRDefault="004B01BA" w:rsidP="004B01BA">
      <w:pPr>
        <w:pStyle w:val="SemEspaamento"/>
        <w:ind w:firstLine="709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750ACC" w:rsidRDefault="00750ACC" w:rsidP="004B01BA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4B01BA" w:rsidRPr="004B01BA" w:rsidRDefault="004B01BA" w:rsidP="004B01BA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4B01BA">
        <w:rPr>
          <w:rFonts w:ascii="Times New Roman" w:hAnsi="Times New Roman"/>
          <w:b/>
          <w:sz w:val="24"/>
          <w:szCs w:val="24"/>
          <w:lang w:val="en-US"/>
        </w:rPr>
        <w:t>Biography</w:t>
      </w:r>
    </w:p>
    <w:p w:rsidR="004B01BA" w:rsidRPr="004B01BA" w:rsidRDefault="004B01BA" w:rsidP="004B01BA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4B01BA" w:rsidRPr="004B01BA" w:rsidRDefault="004B01BA" w:rsidP="004B01BA">
      <w:pPr>
        <w:pStyle w:val="SemEspaamen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Antonio de Freitas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Gonçalves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Júnior</w:t>
      </w:r>
      <w:proofErr w:type="spellEnd"/>
      <w:r w:rsidRPr="004B01BA">
        <w:rPr>
          <w:rFonts w:ascii="Times New Roman" w:hAnsi="Times New Roman"/>
          <w:sz w:val="24"/>
          <w:szCs w:val="24"/>
          <w:lang w:val="en-US"/>
        </w:rPr>
        <w:t xml:space="preserve"> has completed his </w:t>
      </w:r>
      <w:r>
        <w:rPr>
          <w:rFonts w:ascii="Times New Roman" w:hAnsi="Times New Roman"/>
          <w:sz w:val="24"/>
          <w:szCs w:val="24"/>
          <w:lang w:val="en-US"/>
        </w:rPr>
        <w:t>masters at the age of 38</w:t>
      </w:r>
      <w:r w:rsidRPr="004B01BA">
        <w:rPr>
          <w:rFonts w:ascii="Times New Roman" w:hAnsi="Times New Roman"/>
          <w:sz w:val="24"/>
          <w:szCs w:val="24"/>
          <w:lang w:val="en-US"/>
        </w:rPr>
        <w:t xml:space="preserve"> years from </w:t>
      </w:r>
      <w:proofErr w:type="spellStart"/>
      <w:r w:rsidRPr="004B01BA">
        <w:rPr>
          <w:rFonts w:ascii="Times New Roman" w:hAnsi="Times New Roman"/>
          <w:sz w:val="24"/>
          <w:szCs w:val="24"/>
          <w:lang w:val="en-US"/>
        </w:rPr>
        <w:t>Goias</w:t>
      </w:r>
      <w:proofErr w:type="spellEnd"/>
      <w:r w:rsidRPr="004B01BA">
        <w:rPr>
          <w:rFonts w:ascii="Times New Roman" w:hAnsi="Times New Roman"/>
          <w:sz w:val="24"/>
          <w:szCs w:val="24"/>
          <w:lang w:val="en-US"/>
        </w:rPr>
        <w:t xml:space="preserve"> Federal University</w:t>
      </w:r>
      <w:r w:rsidRPr="004B01BA">
        <w:rPr>
          <w:rFonts w:ascii="Times New Roman" w:hAnsi="Times New Roman"/>
          <w:sz w:val="24"/>
          <w:szCs w:val="24"/>
          <w:lang w:val="en-US"/>
        </w:rPr>
        <w:t xml:space="preserve">. He is </w:t>
      </w:r>
      <w:r>
        <w:rPr>
          <w:rFonts w:ascii="Times New Roman" w:hAnsi="Times New Roman"/>
          <w:sz w:val="24"/>
          <w:szCs w:val="24"/>
          <w:lang w:val="en-US"/>
        </w:rPr>
        <w:t>f</w:t>
      </w:r>
      <w:r w:rsidRPr="004B01BA">
        <w:rPr>
          <w:rFonts w:ascii="Times New Roman" w:hAnsi="Times New Roman"/>
          <w:sz w:val="24"/>
          <w:szCs w:val="24"/>
          <w:lang w:val="en-US"/>
        </w:rPr>
        <w:t>ull professor</w:t>
      </w:r>
      <w:r>
        <w:rPr>
          <w:rFonts w:ascii="Times New Roman" w:hAnsi="Times New Roman"/>
          <w:sz w:val="24"/>
          <w:szCs w:val="24"/>
          <w:lang w:val="en-US"/>
        </w:rPr>
        <w:t xml:space="preserve"> i</w:t>
      </w:r>
      <w:r w:rsidRPr="004B01BA">
        <w:rPr>
          <w:rFonts w:ascii="Times New Roman" w:hAnsi="Times New Roman"/>
          <w:sz w:val="24"/>
          <w:szCs w:val="24"/>
          <w:lang w:val="en-US"/>
        </w:rPr>
        <w:t xml:space="preserve">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Faculdade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Montes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Belos</w:t>
      </w:r>
      <w:proofErr w:type="spellEnd"/>
      <w:r w:rsidR="00750ACC">
        <w:rPr>
          <w:rFonts w:ascii="Times New Roman" w:hAnsi="Times New Roman"/>
          <w:sz w:val="24"/>
          <w:szCs w:val="24"/>
          <w:lang w:val="en-US"/>
        </w:rPr>
        <w:t xml:space="preserve"> (FMB). </w:t>
      </w:r>
      <w:r w:rsidRPr="004B01BA">
        <w:rPr>
          <w:rFonts w:ascii="Times New Roman" w:hAnsi="Times New Roman"/>
          <w:sz w:val="24"/>
          <w:szCs w:val="24"/>
          <w:lang w:val="en-US"/>
        </w:rPr>
        <w:t>He is a member of the editoria</w:t>
      </w:r>
      <w:r>
        <w:rPr>
          <w:rFonts w:ascii="Times New Roman" w:hAnsi="Times New Roman"/>
          <w:sz w:val="24"/>
          <w:szCs w:val="24"/>
          <w:lang w:val="en-US"/>
        </w:rPr>
        <w:t xml:space="preserve">l board of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Revista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Eletronica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of the</w:t>
      </w:r>
      <w:r w:rsidRPr="004B01BA">
        <w:rPr>
          <w:rFonts w:ascii="Times New Roman" w:hAnsi="Times New Roman"/>
          <w:sz w:val="24"/>
          <w:szCs w:val="24"/>
          <w:lang w:val="en-US"/>
        </w:rPr>
        <w:t xml:space="preserve"> FMB.</w:t>
      </w:r>
    </w:p>
    <w:p w:rsidR="00B34EAC" w:rsidRPr="00400422" w:rsidRDefault="00B34EAC">
      <w:pPr>
        <w:rPr>
          <w:lang w:val="en-GB"/>
        </w:rPr>
      </w:pPr>
    </w:p>
    <w:sectPr w:rsidR="00B34EAC" w:rsidRPr="004004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422"/>
    <w:rsid w:val="001F3699"/>
    <w:rsid w:val="00400422"/>
    <w:rsid w:val="004B01BA"/>
    <w:rsid w:val="00750ACC"/>
    <w:rsid w:val="00B34EAC"/>
    <w:rsid w:val="00FF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2802AE1-8D3D-4754-8D2B-4DEB26F3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699"/>
    <w:rPr>
      <w:rFonts w:ascii="Calibri" w:eastAsia="Calibri" w:hAnsi="Calibri" w:cs="Times New Roman"/>
    </w:rPr>
  </w:style>
  <w:style w:type="paragraph" w:styleId="Ttulo1">
    <w:name w:val="heading 1"/>
    <w:aliases w:val="title"/>
    <w:basedOn w:val="Normal"/>
    <w:next w:val="Normal"/>
    <w:link w:val="Ttulo1Char"/>
    <w:uiPriority w:val="9"/>
    <w:qFormat/>
    <w:rsid w:val="004B01BA"/>
    <w:pPr>
      <w:keepNext/>
      <w:spacing w:after="0" w:line="240" w:lineRule="auto"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00422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1F3699"/>
    <w:pPr>
      <w:ind w:left="720"/>
      <w:contextualSpacing/>
    </w:pPr>
  </w:style>
  <w:style w:type="character" w:customStyle="1" w:styleId="Ttulo1Char">
    <w:name w:val="Título 1 Char"/>
    <w:aliases w:val="title Char"/>
    <w:basedOn w:val="Fontepargpadro"/>
    <w:link w:val="Ttulo1"/>
    <w:uiPriority w:val="9"/>
    <w:rsid w:val="004B01BA"/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</cp:lastModifiedBy>
  <cp:revision>2</cp:revision>
  <dcterms:created xsi:type="dcterms:W3CDTF">2017-02-19T19:25:00Z</dcterms:created>
  <dcterms:modified xsi:type="dcterms:W3CDTF">2017-02-19T19:25:00Z</dcterms:modified>
</cp:coreProperties>
</file>