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458" w:rsidRPr="00A40257" w:rsidRDefault="00D32458" w:rsidP="00D32458">
      <w:pPr>
        <w:autoSpaceDE w:val="0"/>
        <w:autoSpaceDN w:val="0"/>
        <w:adjustRightInd w:val="0"/>
        <w:spacing w:after="0" w:line="240" w:lineRule="auto"/>
        <w:rPr>
          <w:rFonts w:ascii="Arial" w:hAnsi="Arial" w:cs="Arial"/>
          <w:b/>
          <w:bCs/>
          <w:sz w:val="28"/>
          <w:szCs w:val="28"/>
        </w:rPr>
      </w:pPr>
      <w:r w:rsidRPr="00A40257">
        <w:rPr>
          <w:rFonts w:ascii="Arial" w:hAnsi="Arial" w:cs="Arial"/>
          <w:b/>
          <w:bCs/>
          <w:sz w:val="28"/>
          <w:szCs w:val="28"/>
        </w:rPr>
        <w:t xml:space="preserve">Genetic characteristic and phylogenic analysis of H5N1 avian influenza virus detected in peafowl infection </w:t>
      </w:r>
      <w:r>
        <w:rPr>
          <w:rFonts w:ascii="Arial" w:hAnsi="Arial" w:cs="Arial"/>
          <w:b/>
          <w:bCs/>
          <w:sz w:val="28"/>
          <w:szCs w:val="28"/>
        </w:rPr>
        <w:t>cases in Kirkuk province, Iraq</w:t>
      </w:r>
    </w:p>
    <w:p w:rsidR="00D32458" w:rsidRDefault="00D32458" w:rsidP="00D32458">
      <w:pPr>
        <w:autoSpaceDE w:val="0"/>
        <w:autoSpaceDN w:val="0"/>
        <w:adjustRightInd w:val="0"/>
        <w:spacing w:after="0" w:line="240" w:lineRule="auto"/>
        <w:rPr>
          <w:rFonts w:ascii="Arial" w:hAnsi="Arial" w:cs="Arial"/>
          <w:b/>
          <w:bCs/>
          <w:color w:val="000000"/>
          <w:sz w:val="24"/>
          <w:szCs w:val="24"/>
        </w:rPr>
      </w:pPr>
    </w:p>
    <w:p w:rsidR="00D32458" w:rsidRDefault="00D32458" w:rsidP="00D32458">
      <w:pPr>
        <w:autoSpaceDE w:val="0"/>
        <w:autoSpaceDN w:val="0"/>
        <w:adjustRightInd w:val="0"/>
        <w:spacing w:after="0" w:line="240" w:lineRule="auto"/>
        <w:rPr>
          <w:rFonts w:ascii="Arial" w:hAnsi="Arial" w:cs="Arial"/>
          <w:b/>
          <w:bCs/>
          <w:color w:val="000000"/>
          <w:sz w:val="24"/>
          <w:szCs w:val="24"/>
          <w:vertAlign w:val="superscript"/>
        </w:rPr>
      </w:pPr>
      <w:proofErr w:type="spellStart"/>
      <w:r>
        <w:rPr>
          <w:rFonts w:ascii="Arial" w:hAnsi="Arial" w:cs="Arial"/>
          <w:b/>
          <w:bCs/>
          <w:color w:val="000000"/>
          <w:sz w:val="24"/>
          <w:szCs w:val="24"/>
        </w:rPr>
        <w:t>Peshnyar</w:t>
      </w:r>
      <w:proofErr w:type="spellEnd"/>
      <w:r>
        <w:rPr>
          <w:rFonts w:ascii="Arial" w:hAnsi="Arial" w:cs="Arial"/>
          <w:b/>
          <w:bCs/>
          <w:color w:val="000000"/>
          <w:sz w:val="24"/>
          <w:szCs w:val="24"/>
        </w:rPr>
        <w:t xml:space="preserve"> M. A. </w:t>
      </w:r>
      <w:proofErr w:type="gramStart"/>
      <w:r>
        <w:rPr>
          <w:rFonts w:ascii="Arial" w:hAnsi="Arial" w:cs="Arial"/>
          <w:b/>
          <w:bCs/>
          <w:color w:val="000000"/>
          <w:sz w:val="24"/>
          <w:szCs w:val="24"/>
        </w:rPr>
        <w:t>Rashid</w:t>
      </w:r>
      <w:r w:rsidRPr="00D32458">
        <w:rPr>
          <w:rFonts w:ascii="Arial" w:hAnsi="Arial" w:cs="Arial"/>
          <w:b/>
          <w:bCs/>
          <w:color w:val="000000"/>
          <w:sz w:val="24"/>
          <w:szCs w:val="24"/>
          <w:vertAlign w:val="superscript"/>
        </w:rPr>
        <w:t>1</w:t>
      </w:r>
      <w:r>
        <w:rPr>
          <w:rFonts w:ascii="Arial" w:hAnsi="Arial" w:cs="Arial"/>
          <w:b/>
          <w:bCs/>
          <w:color w:val="000000"/>
          <w:sz w:val="24"/>
          <w:szCs w:val="24"/>
          <w:vertAlign w:val="superscript"/>
        </w:rPr>
        <w:t xml:space="preserve"> </w:t>
      </w:r>
      <w:r>
        <w:rPr>
          <w:rFonts w:ascii="Arial" w:hAnsi="Arial" w:cs="Arial"/>
          <w:b/>
          <w:bCs/>
          <w:color w:val="000000"/>
          <w:sz w:val="24"/>
          <w:szCs w:val="24"/>
        </w:rPr>
        <w:t>,</w:t>
      </w:r>
      <w:proofErr w:type="gramEnd"/>
      <w:r>
        <w:rPr>
          <w:rFonts w:ascii="Arial" w:hAnsi="Arial" w:cs="Arial"/>
          <w:b/>
          <w:bCs/>
          <w:color w:val="000000"/>
          <w:sz w:val="24"/>
          <w:szCs w:val="24"/>
        </w:rPr>
        <w:t xml:space="preserve">  </w:t>
      </w:r>
      <w:proofErr w:type="spellStart"/>
      <w:r>
        <w:rPr>
          <w:rFonts w:ascii="Arial" w:hAnsi="Arial" w:cs="Arial"/>
          <w:b/>
          <w:bCs/>
          <w:color w:val="000000"/>
          <w:sz w:val="24"/>
          <w:szCs w:val="24"/>
        </w:rPr>
        <w:t>Nahla</w:t>
      </w:r>
      <w:proofErr w:type="spellEnd"/>
      <w:r>
        <w:rPr>
          <w:rFonts w:ascii="Arial" w:hAnsi="Arial" w:cs="Arial"/>
          <w:b/>
          <w:bCs/>
          <w:color w:val="000000"/>
          <w:sz w:val="24"/>
          <w:szCs w:val="24"/>
        </w:rPr>
        <w:t xml:space="preserve">  M. Saeed</w:t>
      </w:r>
      <w:r w:rsidRPr="00D32458">
        <w:rPr>
          <w:rFonts w:ascii="Arial" w:hAnsi="Arial" w:cs="Arial"/>
          <w:b/>
          <w:bCs/>
          <w:color w:val="000000"/>
          <w:sz w:val="24"/>
          <w:szCs w:val="24"/>
          <w:vertAlign w:val="superscript"/>
        </w:rPr>
        <w:t>2</w:t>
      </w:r>
    </w:p>
    <w:p w:rsidR="00D32458" w:rsidRDefault="00D32458" w:rsidP="00D32458">
      <w:pPr>
        <w:autoSpaceDE w:val="0"/>
        <w:autoSpaceDN w:val="0"/>
        <w:adjustRightInd w:val="0"/>
        <w:spacing w:after="0" w:line="240" w:lineRule="auto"/>
        <w:rPr>
          <w:rFonts w:ascii="Arial" w:hAnsi="Arial" w:cs="Arial"/>
          <w:b/>
          <w:bCs/>
          <w:color w:val="000000"/>
          <w:sz w:val="24"/>
          <w:szCs w:val="24"/>
          <w:vertAlign w:val="superscript"/>
        </w:rPr>
      </w:pPr>
    </w:p>
    <w:p w:rsidR="00D32458" w:rsidRDefault="00D32458" w:rsidP="00D32458">
      <w:pPr>
        <w:autoSpaceDE w:val="0"/>
        <w:autoSpaceDN w:val="0"/>
        <w:adjustRightInd w:val="0"/>
        <w:spacing w:after="0" w:line="240" w:lineRule="auto"/>
        <w:rPr>
          <w:rFonts w:ascii="Calibri" w:hAnsi="Calibri" w:cs="Calibri"/>
        </w:rPr>
      </w:pPr>
      <w:r w:rsidRPr="00D32458">
        <w:rPr>
          <w:rFonts w:ascii="Arial" w:hAnsi="Arial" w:cs="Arial"/>
          <w:b/>
          <w:bCs/>
          <w:color w:val="000000"/>
          <w:sz w:val="24"/>
          <w:szCs w:val="24"/>
          <w:vertAlign w:val="superscript"/>
        </w:rPr>
        <w:t>1</w:t>
      </w:r>
      <w:r>
        <w:rPr>
          <w:rFonts w:ascii="Arial" w:hAnsi="Arial" w:cs="Arial"/>
          <w:b/>
          <w:bCs/>
          <w:color w:val="000000"/>
          <w:sz w:val="24"/>
          <w:szCs w:val="24"/>
          <w:vertAlign w:val="superscript"/>
        </w:rPr>
        <w:t xml:space="preserve"> </w:t>
      </w:r>
      <w:r w:rsidRPr="00D32458">
        <w:rPr>
          <w:rFonts w:asciiTheme="majorBidi" w:hAnsiTheme="majorBidi" w:cstheme="majorBidi"/>
          <w:sz w:val="24"/>
          <w:szCs w:val="24"/>
        </w:rPr>
        <w:t xml:space="preserve">Molecular diagnostic laboratory </w:t>
      </w:r>
      <w:proofErr w:type="spellStart"/>
      <w:r w:rsidRPr="00D32458">
        <w:rPr>
          <w:rFonts w:asciiTheme="majorBidi" w:hAnsiTheme="majorBidi" w:cstheme="majorBidi"/>
          <w:sz w:val="24"/>
          <w:szCs w:val="24"/>
        </w:rPr>
        <w:t>Slemani</w:t>
      </w:r>
      <w:proofErr w:type="spellEnd"/>
      <w:r w:rsidRPr="00D32458">
        <w:rPr>
          <w:rFonts w:asciiTheme="majorBidi" w:hAnsiTheme="majorBidi" w:cstheme="majorBidi"/>
          <w:sz w:val="24"/>
          <w:szCs w:val="24"/>
        </w:rPr>
        <w:t xml:space="preserve"> </w:t>
      </w:r>
      <w:r w:rsidRPr="00D32458">
        <w:rPr>
          <w:rFonts w:asciiTheme="majorBidi" w:hAnsiTheme="majorBidi" w:cstheme="majorBidi"/>
          <w:sz w:val="24"/>
          <w:szCs w:val="24"/>
        </w:rPr>
        <w:t>Veterinary directorate</w:t>
      </w:r>
      <w:r w:rsidRPr="00D32458">
        <w:rPr>
          <w:rFonts w:asciiTheme="majorBidi" w:hAnsiTheme="majorBidi" w:cstheme="majorBidi"/>
          <w:sz w:val="24"/>
          <w:szCs w:val="24"/>
        </w:rPr>
        <w:t>,</w:t>
      </w:r>
      <w:r>
        <w:rPr>
          <w:rFonts w:asciiTheme="majorBidi" w:hAnsiTheme="majorBidi" w:cstheme="majorBidi"/>
          <w:sz w:val="24"/>
          <w:szCs w:val="24"/>
        </w:rPr>
        <w:t xml:space="preserve"> </w:t>
      </w:r>
      <w:proofErr w:type="spellStart"/>
      <w:r>
        <w:rPr>
          <w:rFonts w:asciiTheme="majorBidi" w:hAnsiTheme="majorBidi" w:cstheme="majorBidi"/>
          <w:sz w:val="24"/>
          <w:szCs w:val="24"/>
        </w:rPr>
        <w:t>Slemeni</w:t>
      </w:r>
      <w:proofErr w:type="spellEnd"/>
      <w:r>
        <w:rPr>
          <w:rFonts w:asciiTheme="majorBidi" w:hAnsiTheme="majorBidi" w:cstheme="majorBidi"/>
          <w:sz w:val="24"/>
          <w:szCs w:val="24"/>
        </w:rPr>
        <w:t xml:space="preserve">, Kurdistan region, </w:t>
      </w:r>
      <w:r w:rsidRPr="00D32458">
        <w:rPr>
          <w:rFonts w:asciiTheme="majorBidi" w:hAnsiTheme="majorBidi" w:cstheme="majorBidi"/>
          <w:sz w:val="24"/>
          <w:szCs w:val="24"/>
        </w:rPr>
        <w:t>Iraq</w:t>
      </w:r>
      <w:r>
        <w:rPr>
          <w:rFonts w:ascii="Calibri" w:hAnsi="Calibri" w:cs="Calibri"/>
        </w:rPr>
        <w:t>.</w:t>
      </w:r>
    </w:p>
    <w:p w:rsidR="00D32458" w:rsidRDefault="00D32458" w:rsidP="00D32458">
      <w:pPr>
        <w:autoSpaceDE w:val="0"/>
        <w:autoSpaceDN w:val="0"/>
        <w:adjustRightInd w:val="0"/>
        <w:spacing w:after="0" w:line="240" w:lineRule="auto"/>
        <w:rPr>
          <w:rFonts w:ascii="Calibri" w:hAnsi="Calibri" w:cs="Calibri"/>
        </w:rPr>
      </w:pPr>
      <w:r>
        <w:rPr>
          <w:rFonts w:ascii="Arial" w:hAnsi="Arial" w:cs="Arial"/>
          <w:b/>
          <w:bCs/>
          <w:color w:val="000000"/>
          <w:sz w:val="24"/>
          <w:szCs w:val="24"/>
          <w:vertAlign w:val="superscript"/>
        </w:rPr>
        <w:t xml:space="preserve">2 </w:t>
      </w:r>
      <w:r>
        <w:rPr>
          <w:rFonts w:ascii="Calibri" w:hAnsi="Calibri" w:cs="Calibri"/>
        </w:rPr>
        <w:t xml:space="preserve">Basic science department, College of veterinary medicine, University of </w:t>
      </w:r>
      <w:proofErr w:type="spellStart"/>
      <w:r>
        <w:rPr>
          <w:rFonts w:ascii="Calibri" w:hAnsi="Calibri" w:cs="Calibri"/>
        </w:rPr>
        <w:t>Sulaimania</w:t>
      </w:r>
      <w:proofErr w:type="spellEnd"/>
      <w:r>
        <w:rPr>
          <w:rFonts w:ascii="Calibri" w:hAnsi="Calibri" w:cs="Calibri"/>
        </w:rPr>
        <w:t xml:space="preserve">, </w:t>
      </w:r>
      <w:proofErr w:type="spellStart"/>
      <w:r>
        <w:rPr>
          <w:rFonts w:asciiTheme="majorBidi" w:hAnsiTheme="majorBidi" w:cstheme="majorBidi"/>
          <w:sz w:val="24"/>
          <w:szCs w:val="24"/>
        </w:rPr>
        <w:t>Slemani</w:t>
      </w:r>
      <w:proofErr w:type="spellEnd"/>
      <w:r>
        <w:rPr>
          <w:rFonts w:asciiTheme="majorBidi" w:hAnsiTheme="majorBidi" w:cstheme="majorBidi"/>
          <w:sz w:val="24"/>
          <w:szCs w:val="24"/>
        </w:rPr>
        <w:t xml:space="preserve">, Kurdistan region, </w:t>
      </w:r>
      <w:r w:rsidRPr="00D32458">
        <w:rPr>
          <w:rFonts w:asciiTheme="majorBidi" w:hAnsiTheme="majorBidi" w:cstheme="majorBidi"/>
          <w:sz w:val="24"/>
          <w:szCs w:val="24"/>
        </w:rPr>
        <w:t>Iraq</w:t>
      </w:r>
      <w:r>
        <w:rPr>
          <w:rFonts w:ascii="Calibri" w:hAnsi="Calibri" w:cs="Calibri"/>
        </w:rPr>
        <w:t>.</w:t>
      </w:r>
    </w:p>
    <w:p w:rsidR="00D32458" w:rsidRPr="00D32458" w:rsidRDefault="00D32458" w:rsidP="00D32458">
      <w:pPr>
        <w:autoSpaceDE w:val="0"/>
        <w:autoSpaceDN w:val="0"/>
        <w:adjustRightInd w:val="0"/>
        <w:spacing w:after="0" w:line="240" w:lineRule="auto"/>
        <w:rPr>
          <w:rFonts w:asciiTheme="majorBidi" w:hAnsiTheme="majorBidi" w:cstheme="majorBidi"/>
          <w:sz w:val="24"/>
          <w:szCs w:val="24"/>
        </w:rPr>
      </w:pPr>
    </w:p>
    <w:p w:rsidR="00D32458" w:rsidRPr="003074C7" w:rsidRDefault="00D32458" w:rsidP="00D32458">
      <w:pPr>
        <w:autoSpaceDE w:val="0"/>
        <w:autoSpaceDN w:val="0"/>
        <w:adjustRightInd w:val="0"/>
        <w:spacing w:after="0" w:line="240" w:lineRule="auto"/>
        <w:rPr>
          <w:rFonts w:ascii="Arial" w:hAnsi="Arial" w:cs="Arial"/>
          <w:b/>
          <w:bCs/>
          <w:color w:val="000000"/>
          <w:sz w:val="24"/>
          <w:szCs w:val="24"/>
        </w:rPr>
      </w:pPr>
      <w:r>
        <w:t xml:space="preserve"> </w:t>
      </w:r>
    </w:p>
    <w:p w:rsidR="00D32458" w:rsidRPr="001F5683" w:rsidRDefault="00D32458" w:rsidP="00D32458">
      <w:pPr>
        <w:autoSpaceDE w:val="0"/>
        <w:autoSpaceDN w:val="0"/>
        <w:adjustRightInd w:val="0"/>
        <w:spacing w:after="0" w:line="480" w:lineRule="auto"/>
        <w:jc w:val="both"/>
        <w:rPr>
          <w:rFonts w:asciiTheme="majorBidi" w:hAnsiTheme="majorBidi" w:cstheme="majorBidi"/>
          <w:b/>
          <w:bCs/>
          <w:color w:val="000000"/>
          <w:sz w:val="24"/>
          <w:szCs w:val="24"/>
        </w:rPr>
      </w:pPr>
      <w:r w:rsidRPr="001F5683">
        <w:rPr>
          <w:rFonts w:asciiTheme="majorBidi" w:hAnsiTheme="majorBidi" w:cstheme="majorBidi"/>
          <w:b/>
          <w:bCs/>
          <w:color w:val="000000"/>
          <w:sz w:val="24"/>
          <w:szCs w:val="24"/>
        </w:rPr>
        <w:t xml:space="preserve">Abstract </w:t>
      </w:r>
    </w:p>
    <w:p w:rsidR="00D32458" w:rsidRDefault="00D32458" w:rsidP="00D32458">
      <w:pPr>
        <w:autoSpaceDE w:val="0"/>
        <w:autoSpaceDN w:val="0"/>
        <w:adjustRightInd w:val="0"/>
        <w:spacing w:after="0" w:line="480" w:lineRule="auto"/>
        <w:jc w:val="both"/>
        <w:rPr>
          <w:rFonts w:asciiTheme="majorBidi" w:hAnsiTheme="majorBidi" w:cstheme="majorBidi"/>
          <w:sz w:val="24"/>
          <w:szCs w:val="24"/>
        </w:rPr>
      </w:pPr>
      <w:r w:rsidRPr="001F5683">
        <w:rPr>
          <w:rFonts w:asciiTheme="majorBidi" w:hAnsiTheme="majorBidi" w:cstheme="majorBidi"/>
          <w:sz w:val="24"/>
          <w:szCs w:val="24"/>
        </w:rPr>
        <w:t xml:space="preserve">A highly pathogenic avian influenza (HPAI) H5N1 were detected for the first time in peafowl in Kirkuk province, Iraq, 2015. Genetic analysis of Kirkuk H5N1 indicated molecular markers for avian type receptor, which were reasonable explanation for non-reported human H5N1 cases in Iraq in 2015. Genetic analysis revealed that the Kirkuk H5N1 </w:t>
      </w:r>
      <w:proofErr w:type="spellStart"/>
      <w:r w:rsidRPr="001F5683">
        <w:rPr>
          <w:rFonts w:asciiTheme="majorBidi" w:hAnsiTheme="majorBidi" w:cstheme="majorBidi"/>
          <w:sz w:val="20"/>
          <w:szCs w:val="20"/>
        </w:rPr>
        <w:t>haemagglutinin</w:t>
      </w:r>
      <w:proofErr w:type="spellEnd"/>
      <w:r w:rsidRPr="001F5683">
        <w:rPr>
          <w:rFonts w:asciiTheme="majorBidi" w:hAnsiTheme="majorBidi" w:cstheme="majorBidi"/>
          <w:sz w:val="20"/>
          <w:szCs w:val="20"/>
        </w:rPr>
        <w:t xml:space="preserve"> </w:t>
      </w:r>
      <w:r w:rsidRPr="001F5683">
        <w:rPr>
          <w:rFonts w:asciiTheme="majorBidi" w:hAnsiTheme="majorBidi" w:cstheme="majorBidi"/>
          <w:sz w:val="24"/>
          <w:szCs w:val="24"/>
        </w:rPr>
        <w:t>gene has a unique amino acid cleavage site (SPQREKRRKRGLF) and neuraminidase genes showed sensitive molecular marker for antivirus drug. Additionally phylogenetic analysis found that Kirkuk H5N1 were belonging to subclade 2.3.2.1c. . . Our results suggest that Iraq 2015 H5N1 exhibited new genetic characterization that has not been identified previously in Iraq and were different from the Iraq 2006 H5N1</w:t>
      </w:r>
      <w:r>
        <w:rPr>
          <w:rFonts w:asciiTheme="majorBidi" w:hAnsiTheme="majorBidi" w:cstheme="majorBidi"/>
          <w:sz w:val="24"/>
          <w:szCs w:val="24"/>
        </w:rPr>
        <w:t>.</w:t>
      </w:r>
      <w:bookmarkStart w:id="0" w:name="_GoBack"/>
      <w:bookmarkEnd w:id="0"/>
    </w:p>
    <w:p w:rsidR="009D3F3A" w:rsidRDefault="009D3F3A"/>
    <w:sectPr w:rsidR="009D3F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6AA8"/>
    <w:rsid w:val="00446AA8"/>
    <w:rsid w:val="009D3F3A"/>
    <w:rsid w:val="00D324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47DB63-CF33-4667-8543-DC8B2D51B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24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175</Words>
  <Characters>1003</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Peshniyar Atta</dc:creator>
  <cp:keywords/>
  <dc:description/>
  <cp:lastModifiedBy>Peshniyar Atta</cp:lastModifiedBy>
  <cp:revision>2</cp:revision>
  <dcterms:created xsi:type="dcterms:W3CDTF">2016-08-19T21:48:00Z</dcterms:created>
  <dcterms:modified xsi:type="dcterms:W3CDTF">2016-08-19T21:56:00Z</dcterms:modified>
</cp:coreProperties>
</file>