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E12" w:rsidRPr="00503E12" w:rsidRDefault="00503E12" w:rsidP="00503E12">
      <w:pPr>
        <w:shd w:val="clear" w:color="auto" w:fill="FFFFFF"/>
        <w:spacing w:after="24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en-GB"/>
        </w:rPr>
      </w:pPr>
      <w:r w:rsidRPr="00503E12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en-GB"/>
        </w:rPr>
        <w:t>Distribution of </w:t>
      </w:r>
      <w:proofErr w:type="spellStart"/>
      <w:r w:rsidRPr="00503E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4"/>
          <w:szCs w:val="24"/>
          <w:lang w:eastAsia="en-GB"/>
        </w:rPr>
        <w:t>bla</w:t>
      </w:r>
      <w:r w:rsidRPr="00503E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4"/>
          <w:szCs w:val="24"/>
          <w:vertAlign w:val="subscript"/>
          <w:lang w:eastAsia="en-GB"/>
        </w:rPr>
        <w:t>CTX</w:t>
      </w:r>
      <w:proofErr w:type="spellEnd"/>
      <w:r w:rsidRPr="00503E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4"/>
          <w:szCs w:val="24"/>
          <w:vertAlign w:val="subscript"/>
          <w:lang w:eastAsia="en-GB"/>
        </w:rPr>
        <w:t> − M</w:t>
      </w:r>
      <w:r w:rsidRPr="00503E12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en-GB"/>
        </w:rPr>
        <w:t>, </w:t>
      </w:r>
      <w:proofErr w:type="spellStart"/>
      <w:r w:rsidRPr="00503E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4"/>
          <w:szCs w:val="24"/>
          <w:lang w:eastAsia="en-GB"/>
        </w:rPr>
        <w:t>bla</w:t>
      </w:r>
      <w:r w:rsidRPr="00503E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4"/>
          <w:szCs w:val="24"/>
          <w:vertAlign w:val="subscript"/>
          <w:lang w:eastAsia="en-GB"/>
        </w:rPr>
        <w:t>TEM</w:t>
      </w:r>
      <w:proofErr w:type="spellEnd"/>
      <w:r w:rsidRPr="00503E12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en-GB"/>
        </w:rPr>
        <w:t>, </w:t>
      </w:r>
      <w:proofErr w:type="spellStart"/>
      <w:r w:rsidRPr="00503E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4"/>
          <w:szCs w:val="24"/>
          <w:lang w:eastAsia="en-GB"/>
        </w:rPr>
        <w:t>bla</w:t>
      </w:r>
      <w:r w:rsidRPr="00503E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4"/>
          <w:szCs w:val="24"/>
          <w:vertAlign w:val="subscript"/>
          <w:lang w:eastAsia="en-GB"/>
        </w:rPr>
        <w:t>SHV</w:t>
      </w:r>
      <w:proofErr w:type="spellEnd"/>
      <w:r w:rsidRPr="00503E12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en-GB"/>
        </w:rPr>
        <w:t> and </w:t>
      </w:r>
      <w:proofErr w:type="spellStart"/>
      <w:r w:rsidRPr="00503E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4"/>
          <w:szCs w:val="24"/>
          <w:lang w:eastAsia="en-GB"/>
        </w:rPr>
        <w:t>bla</w:t>
      </w:r>
      <w:r w:rsidRPr="00503E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4"/>
          <w:szCs w:val="24"/>
          <w:vertAlign w:val="subscript"/>
          <w:lang w:eastAsia="en-GB"/>
        </w:rPr>
        <w:t>OXA</w:t>
      </w:r>
      <w:proofErr w:type="spellEnd"/>
      <w:r w:rsidRPr="00503E12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en-GB"/>
        </w:rPr>
        <w:t> genes in Extended-spectrum-</w:t>
      </w:r>
      <w:r w:rsidRPr="00503E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36"/>
          <w:sz w:val="24"/>
          <w:szCs w:val="24"/>
          <w:lang w:eastAsia="en-GB"/>
        </w:rPr>
        <w:t>β</w:t>
      </w:r>
      <w:r w:rsidRPr="00503E12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en-GB"/>
        </w:rPr>
        <w:t>-lactamase-producing Clinical isolates: A three-year multi-</w:t>
      </w:r>
      <w:proofErr w:type="spellStart"/>
      <w:r w:rsidRPr="00503E12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en-GB"/>
        </w:rPr>
        <w:t>center</w:t>
      </w:r>
      <w:proofErr w:type="spellEnd"/>
      <w:r w:rsidRPr="00503E12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en-GB"/>
        </w:rPr>
        <w:t xml:space="preserve"> study from Lahore, Pakistan</w:t>
      </w:r>
    </w:p>
    <w:p w:rsidR="00503E12" w:rsidRDefault="00503E12" w:rsidP="00503E12">
      <w:pPr>
        <w:shd w:val="clear" w:color="auto" w:fill="FFFFFF"/>
        <w:spacing w:before="100" w:beforeAutospacing="1" w:after="100" w:afterAutospacing="1" w:line="240" w:lineRule="auto"/>
        <w:ind w:left="-36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en-GB"/>
        </w:rPr>
      </w:pPr>
      <w:hyperlink r:id="rId6" w:anchor="auth-Samyyia-Abrar" w:history="1">
        <w:proofErr w:type="spellStart"/>
        <w:r w:rsidRPr="00503E1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en-GB"/>
          </w:rPr>
          <w:t>Samyyia</w:t>
        </w:r>
        <w:proofErr w:type="spellEnd"/>
        <w:r w:rsidRPr="00503E1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en-GB"/>
          </w:rPr>
          <w:t xml:space="preserve"> Abrar</w:t>
        </w:r>
      </w:hyperlink>
      <w:r w:rsidRPr="00503E12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en-GB"/>
        </w:rPr>
        <w:t>1</w:t>
      </w:r>
      <w:proofErr w:type="gramStart"/>
      <w:r w:rsidRPr="00503E12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en-GB"/>
        </w:rPr>
        <w:t>,2</w:t>
      </w:r>
      <w:proofErr w:type="gramEnd"/>
      <w:r w:rsidRPr="00503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,  </w:t>
      </w:r>
      <w:hyperlink r:id="rId7" w:anchor="auth-Noor_Ul-Ain" w:history="1">
        <w:r w:rsidRPr="00503E1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en-GB"/>
          </w:rPr>
          <w:t xml:space="preserve">Noor </w:t>
        </w:r>
        <w:proofErr w:type="spellStart"/>
        <w:r w:rsidRPr="00503E1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en-GB"/>
          </w:rPr>
          <w:t>Ul</w:t>
        </w:r>
        <w:proofErr w:type="spellEnd"/>
        <w:r w:rsidRPr="00503E1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en-GB"/>
          </w:rPr>
          <w:t xml:space="preserve"> A</w:t>
        </w:r>
        <w:bookmarkStart w:id="0" w:name="_GoBack"/>
        <w:bookmarkEnd w:id="0"/>
        <w:r w:rsidRPr="00503E1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en-GB"/>
          </w:rPr>
          <w:t>in</w:t>
        </w:r>
      </w:hyperlink>
      <w:r w:rsidRPr="00503E12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en-GB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r w:rsidRPr="00503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&amp;  </w:t>
      </w:r>
      <w:hyperlink r:id="rId8" w:anchor="auth-Saba-Riaz" w:history="1">
        <w:proofErr w:type="spellStart"/>
        <w:r w:rsidRPr="00503E1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en-GB"/>
          </w:rPr>
          <w:t>Saba</w:t>
        </w:r>
        <w:proofErr w:type="spellEnd"/>
        <w:r w:rsidRPr="00503E1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en-GB"/>
          </w:rPr>
          <w:t xml:space="preserve"> Riaz</w:t>
        </w:r>
      </w:hyperlink>
      <w:r w:rsidRPr="00503E12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en-GB"/>
        </w:rPr>
        <w:t>2,3</w:t>
      </w:r>
    </w:p>
    <w:p w:rsidR="00503E12" w:rsidRDefault="00503E12" w:rsidP="00503E12">
      <w:pPr>
        <w:shd w:val="clear" w:color="auto" w:fill="FFFFFF"/>
        <w:spacing w:before="100" w:beforeAutospacing="1" w:after="100" w:afterAutospacing="1" w:line="240" w:lineRule="auto"/>
        <w:ind w:left="-36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503E12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en-GB"/>
        </w:rPr>
        <w:t>1</w:t>
      </w:r>
      <w:r w:rsidRPr="00503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Department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of Biological Sciences, Superior University, Lahore, Pakistan </w:t>
      </w:r>
    </w:p>
    <w:p w:rsidR="00503E12" w:rsidRDefault="00503E12" w:rsidP="00503E12">
      <w:pPr>
        <w:shd w:val="clear" w:color="auto" w:fill="FFFFFF"/>
        <w:spacing w:before="100" w:beforeAutospacing="1" w:after="100" w:afterAutospacing="1" w:line="240" w:lineRule="auto"/>
        <w:ind w:left="-36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503E12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en-GB"/>
        </w:rPr>
        <w:t xml:space="preserve">2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Institute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of Microbiology and Molecular Genetics, University of the Punjab, Lahore, Pakistan </w:t>
      </w:r>
    </w:p>
    <w:p w:rsidR="00503E12" w:rsidRPr="00503E12" w:rsidRDefault="00503E12" w:rsidP="00503E12">
      <w:pPr>
        <w:shd w:val="clear" w:color="auto" w:fill="FFFFFF"/>
        <w:spacing w:before="100" w:beforeAutospacing="1" w:after="100" w:afterAutospacing="1" w:line="240" w:lineRule="auto"/>
        <w:ind w:left="-36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503E12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en-GB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Citilab and Research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Center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, Lahore, Pakistan</w:t>
      </w:r>
    </w:p>
    <w:p w:rsidR="00503E12" w:rsidRPr="00503E12" w:rsidRDefault="00503E12" w:rsidP="00503E12">
      <w:pPr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  <w:r w:rsidRPr="00503E12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>Background</w:t>
      </w:r>
    </w:p>
    <w:p w:rsidR="00503E12" w:rsidRPr="00503E12" w:rsidRDefault="00503E12" w:rsidP="00503E12">
      <w:pPr>
        <w:spacing w:after="36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Frequency of extended-spectrum-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β</w:t>
      </w: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-lactamase-producing clinical isolates is increasing worldwide. This is a multi-</w:t>
      </w:r>
      <w:proofErr w:type="spellStart"/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center</w:t>
      </w:r>
      <w:proofErr w:type="spellEnd"/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study which was aimed to check the frequency of third-generation cephalosporin resistance and distribution of the key genetic determinants of Extended-spectrum-β-lactamase-producing Clinical isolates in Pakistan.</w:t>
      </w:r>
    </w:p>
    <w:p w:rsidR="00503E12" w:rsidRPr="00503E12" w:rsidRDefault="00503E12" w:rsidP="00503E12">
      <w:pPr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  <w:r w:rsidRPr="00503E12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>Methods</w:t>
      </w:r>
    </w:p>
    <w:p w:rsidR="00503E12" w:rsidRPr="00503E12" w:rsidRDefault="00503E12" w:rsidP="00503E12">
      <w:pPr>
        <w:spacing w:after="36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 total of 2372 samples were processed in three tertiary care hospitals and one diagnostic research </w:t>
      </w:r>
      <w:proofErr w:type="spellStart"/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center</w:t>
      </w:r>
      <w:proofErr w:type="spellEnd"/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 Lahore, Pakistan during Aug-2014 to Sep-2017. Analytical profile index (API 20-E) was used for biochemical characterization of isolates. Antibiotic susceptibility testing (AST) and third generation cephalosporin resistant (3GC-R) isolates were subjected to: double disc synergism test (DDST), combination disc test (CDST) and </w:t>
      </w:r>
      <w:proofErr w:type="spellStart"/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epsilometric</w:t>
      </w:r>
      <w:proofErr w:type="spellEnd"/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test (E-test) for confirmation of ESBL-production. PCR amplification of isolates with plasmid and genomic DNA was performed. </w:t>
      </w:r>
      <w:proofErr w:type="spellStart"/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Amplicon</w:t>
      </w:r>
      <w:proofErr w:type="spellEnd"/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sequences were checked for gene-variants and statistical analyses were performed to check the significance of data.</w:t>
      </w:r>
    </w:p>
    <w:p w:rsidR="00503E12" w:rsidRPr="00503E12" w:rsidRDefault="00503E12" w:rsidP="00503E12">
      <w:pPr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  <w:r w:rsidRPr="00503E12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>Results</w:t>
      </w:r>
    </w:p>
    <w:p w:rsidR="00503E12" w:rsidRPr="00503E12" w:rsidRDefault="00503E12" w:rsidP="00503E12">
      <w:pPr>
        <w:spacing w:after="36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A total of 497/995 (50%) isolates including 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Escherichia coli</w:t>
      </w: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 65% (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n</w:t>
      </w: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 = 321), 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Klebsiella</w:t>
      </w: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 spp. 25% (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n</w:t>
      </w: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 = 124) and 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Pseudomonas.</w:t>
      </w: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 5% (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n</w:t>
      </w: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 = 24), 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Enterobacter spp.</w:t>
      </w: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 4% (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n</w:t>
      </w: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 = 20) and 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Acinetobacter</w:t>
      </w: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 spp. 2% (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n</w:t>
      </w: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 = 8) were screened as third generation cephalosporin resistant (3GC-R). Urine 56% (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n</w:t>
      </w: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 = 278) followed by pus 20% (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n</w:t>
      </w: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 = 99) and wound swab 6% (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n</w:t>
      </w: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 = 29) were frequent sources. Incidence of ESBL-producers detected by combination disc test was 79% (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n</w:t>
      </w: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 = 392). PCR revealed </w:t>
      </w:r>
      <w:proofErr w:type="spellStart"/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bla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en-GB"/>
        </w:rPr>
        <w:t>CTX</w:t>
      </w:r>
      <w:proofErr w:type="spellEnd"/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en-GB"/>
        </w:rPr>
        <w:t> − M</w:t>
      </w: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 (76%) gene followed by </w:t>
      </w:r>
      <w:proofErr w:type="spellStart"/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bla</w:t>
      </w:r>
      <w:r w:rsidRPr="00503E12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GB"/>
        </w:rPr>
        <w:t>OXA</w:t>
      </w:r>
      <w:proofErr w:type="spellEnd"/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 (52%), </w:t>
      </w:r>
      <w:proofErr w:type="spellStart"/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bla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en-GB"/>
        </w:rPr>
        <w:t>TEM</w:t>
      </w:r>
      <w:proofErr w:type="spellEnd"/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 (28%) and </w:t>
      </w:r>
      <w:proofErr w:type="spellStart"/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bla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en-GB"/>
        </w:rPr>
        <w:t>SHV</w:t>
      </w:r>
      <w:proofErr w:type="spellEnd"/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 (21%) were most prevalent among ESBL-producers detected by CDST. </w:t>
      </w:r>
      <w:proofErr w:type="spellStart"/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bla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en-GB"/>
        </w:rPr>
        <w:t>CTX</w:t>
      </w:r>
      <w:proofErr w:type="spellEnd"/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en-GB"/>
        </w:rPr>
        <w:t> − M −</w:t>
      </w:r>
      <w:r w:rsidRPr="00503E12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GB"/>
        </w:rPr>
        <w:t> 1</w:t>
      </w: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(65%), </w:t>
      </w:r>
      <w:proofErr w:type="spellStart"/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bla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en-GB"/>
        </w:rPr>
        <w:t>OXA</w:t>
      </w:r>
      <w:proofErr w:type="spellEnd"/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 (78%) and </w:t>
      </w:r>
      <w:proofErr w:type="spellStart"/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bla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en-GB"/>
        </w:rPr>
        <w:t>TEM</w:t>
      </w:r>
      <w:proofErr w:type="spellEnd"/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 (57%) genes were carried on plasmids. </w:t>
      </w:r>
      <w:proofErr w:type="spellStart"/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Amplicon</w:t>
      </w:r>
      <w:proofErr w:type="spellEnd"/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sequencing revealed </w:t>
      </w:r>
      <w:proofErr w:type="spellStart"/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bla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en-GB"/>
        </w:rPr>
        <w:t>CTX</w:t>
      </w:r>
      <w:proofErr w:type="spellEnd"/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en-GB"/>
        </w:rPr>
        <w:t> − M −</w:t>
      </w:r>
      <w:r w:rsidRPr="00503E12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GB"/>
        </w:rPr>
        <w:t> 15</w:t>
      </w: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 (75%), </w:t>
      </w:r>
      <w:proofErr w:type="spellStart"/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bla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en-GB"/>
        </w:rPr>
        <w:t>OXA</w:t>
      </w:r>
      <w:proofErr w:type="spellEnd"/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en-GB"/>
        </w:rPr>
        <w:t> −</w:t>
      </w:r>
      <w:r w:rsidRPr="00503E12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GB"/>
        </w:rPr>
        <w:t> 1</w:t>
      </w: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 (49%) and </w:t>
      </w:r>
      <w:proofErr w:type="spellStart"/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bla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en-GB"/>
        </w:rPr>
        <w:t>TEM</w:t>
      </w:r>
      <w:proofErr w:type="spellEnd"/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en-GB"/>
        </w:rPr>
        <w:t> −</w:t>
      </w:r>
      <w:r w:rsidRPr="00503E12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GB"/>
        </w:rPr>
        <w:t> 1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en-GB"/>
        </w:rPr>
        <w:t>B</w:t>
      </w: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 (34%) and 21 (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n</w:t>
      </w: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 = 28) isolates carried three genes in them.</w:t>
      </w:r>
    </w:p>
    <w:p w:rsidR="00503E12" w:rsidRPr="00503E12" w:rsidRDefault="00503E12" w:rsidP="00503E12">
      <w:pPr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  <w:r w:rsidRPr="00503E12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>Conclusion</w:t>
      </w:r>
    </w:p>
    <w:p w:rsidR="00503E12" w:rsidRPr="00503E12" w:rsidRDefault="00503E12" w:rsidP="00503E1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Prevalence of ESBL-producing isolates has increased 1.13 folds during study years. Isolates had high prevalence of ESBL-encoding </w:t>
      </w:r>
      <w:proofErr w:type="spellStart"/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bla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en-GB"/>
        </w:rPr>
        <w:t>CTXM</w:t>
      </w:r>
      <w:proofErr w:type="spellEnd"/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en-GB"/>
        </w:rPr>
        <w:t> −</w:t>
      </w:r>
      <w:r w:rsidRPr="00503E12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GB"/>
        </w:rPr>
        <w:t> 15</w:t>
      </w: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 gene and narrow spectrum </w:t>
      </w:r>
      <w:proofErr w:type="spellStart"/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bla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en-GB"/>
        </w:rPr>
        <w:t>OXA</w:t>
      </w:r>
      <w:proofErr w:type="spellEnd"/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en-GB"/>
        </w:rPr>
        <w:t> −</w:t>
      </w:r>
      <w:r w:rsidRPr="00503E12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GB"/>
        </w:rPr>
        <w:t> 1</w:t>
      </w: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 and </w:t>
      </w:r>
      <w:proofErr w:type="spellStart"/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bla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en-GB"/>
        </w:rPr>
        <w:t>TEM</w:t>
      </w:r>
      <w:proofErr w:type="spellEnd"/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en-GB"/>
        </w:rPr>
        <w:t> −</w:t>
      </w:r>
      <w:r w:rsidRPr="00503E12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GB"/>
        </w:rPr>
        <w:t> 1</w:t>
      </w:r>
      <w:r w:rsidRPr="00503E12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en-GB"/>
        </w:rPr>
        <w:t>B</w:t>
      </w:r>
      <w:r w:rsidRPr="00503E12">
        <w:rPr>
          <w:rFonts w:ascii="Times New Roman" w:eastAsia="Times New Roman" w:hAnsi="Times New Roman" w:cs="Times New Roman"/>
          <w:sz w:val="24"/>
          <w:szCs w:val="24"/>
          <w:lang w:eastAsia="en-GB"/>
        </w:rPr>
        <w:t> were also prevalent.</w:t>
      </w:r>
    </w:p>
    <w:p w:rsidR="00763555" w:rsidRDefault="00763555"/>
    <w:sectPr w:rsidR="007635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35866"/>
    <w:multiLevelType w:val="multilevel"/>
    <w:tmpl w:val="26DAC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0158EB"/>
    <w:multiLevelType w:val="multilevel"/>
    <w:tmpl w:val="F5101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4A9"/>
    <w:rsid w:val="002E2BCF"/>
    <w:rsid w:val="003B1D51"/>
    <w:rsid w:val="004434DA"/>
    <w:rsid w:val="00503E12"/>
    <w:rsid w:val="0056641D"/>
    <w:rsid w:val="00763555"/>
    <w:rsid w:val="00DD4C16"/>
    <w:rsid w:val="00F4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03E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503E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503E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3E1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503E1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503E12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503E12"/>
    <w:rPr>
      <w:color w:val="0000FF"/>
      <w:u w:val="single"/>
    </w:rPr>
  </w:style>
  <w:style w:type="paragraph" w:customStyle="1" w:styleId="c-article-info-details">
    <w:name w:val="c-article-info-details"/>
    <w:basedOn w:val="Normal"/>
    <w:rsid w:val="00503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u-visually-hidden">
    <w:name w:val="u-visually-hidden"/>
    <w:basedOn w:val="DefaultParagraphFont"/>
    <w:rsid w:val="00503E12"/>
  </w:style>
  <w:style w:type="paragraph" w:customStyle="1" w:styleId="c-article-metrics-barcount">
    <w:name w:val="c-article-metrics-bar__count"/>
    <w:basedOn w:val="Normal"/>
    <w:rsid w:val="00503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-article-metrics-barlabel">
    <w:name w:val="c-article-metrics-bar__label"/>
    <w:basedOn w:val="DefaultParagraphFont"/>
    <w:rsid w:val="00503E12"/>
  </w:style>
  <w:style w:type="paragraph" w:customStyle="1" w:styleId="c-article-metrics-bardetails">
    <w:name w:val="c-article-metrics-bar__details"/>
    <w:basedOn w:val="Normal"/>
    <w:rsid w:val="00503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503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03E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503E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503E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3E1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503E1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503E12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503E12"/>
    <w:rPr>
      <w:color w:val="0000FF"/>
      <w:u w:val="single"/>
    </w:rPr>
  </w:style>
  <w:style w:type="paragraph" w:customStyle="1" w:styleId="c-article-info-details">
    <w:name w:val="c-article-info-details"/>
    <w:basedOn w:val="Normal"/>
    <w:rsid w:val="00503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u-visually-hidden">
    <w:name w:val="u-visually-hidden"/>
    <w:basedOn w:val="DefaultParagraphFont"/>
    <w:rsid w:val="00503E12"/>
  </w:style>
  <w:style w:type="paragraph" w:customStyle="1" w:styleId="c-article-metrics-barcount">
    <w:name w:val="c-article-metrics-bar__count"/>
    <w:basedOn w:val="Normal"/>
    <w:rsid w:val="00503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-article-metrics-barlabel">
    <w:name w:val="c-article-metrics-bar__label"/>
    <w:basedOn w:val="DefaultParagraphFont"/>
    <w:rsid w:val="00503E12"/>
  </w:style>
  <w:style w:type="paragraph" w:customStyle="1" w:styleId="c-article-metrics-bardetails">
    <w:name w:val="c-article-metrics-bar__details"/>
    <w:basedOn w:val="Normal"/>
    <w:rsid w:val="00503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503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9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79656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4720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47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76845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0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icjournal.biomedcentral.com/articles/10.1186/s13756-019-0536-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aricjournal.biomedcentral.com/articles/10.1186/s13756-019-0536-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icjournal.biomedcentral.com/articles/10.1186/s13756-019-0536-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2022-02-28T05:12:00Z</dcterms:created>
  <dcterms:modified xsi:type="dcterms:W3CDTF">2022-02-28T05:18:00Z</dcterms:modified>
</cp:coreProperties>
</file>