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AC0" w:rsidRPr="00BF34A9" w:rsidRDefault="00412AC0" w:rsidP="00A10126">
      <w:pPr>
        <w:pStyle w:val="Heading1"/>
        <w:spacing w:before="100" w:beforeAutospacing="1" w:line="240" w:lineRule="auto"/>
        <w:rPr>
          <w:rFonts w:ascii="Century Gothic" w:hAnsi="Century Gothic" w:cstheme="minorHAnsi"/>
          <w:color w:val="auto"/>
          <w:sz w:val="24"/>
          <w:szCs w:val="24"/>
        </w:rPr>
      </w:pPr>
      <w:bookmarkStart w:id="0" w:name="_GoBack"/>
      <w:bookmarkEnd w:id="0"/>
    </w:p>
    <w:p w:rsidR="00412AC0" w:rsidRPr="00BF34A9" w:rsidRDefault="00FA0B09" w:rsidP="00FA0B09">
      <w:pPr>
        <w:pStyle w:val="Heading2"/>
        <w:spacing w:before="100" w:beforeAutospacing="1" w:line="240" w:lineRule="auto"/>
        <w:jc w:val="center"/>
        <w:rPr>
          <w:rFonts w:ascii="Century Gothic" w:hAnsi="Century Gothic" w:cstheme="minorHAnsi"/>
          <w:b w:val="0"/>
          <w:color w:val="auto"/>
          <w:sz w:val="24"/>
          <w:szCs w:val="24"/>
        </w:rPr>
      </w:pPr>
      <w:r w:rsidRPr="00BF34A9">
        <w:rPr>
          <w:rFonts w:ascii="Century Gothic" w:hAnsi="Century Gothic" w:cstheme="minorHAnsi"/>
          <w:b w:val="0"/>
          <w:color w:val="auto"/>
          <w:sz w:val="24"/>
          <w:szCs w:val="24"/>
        </w:rPr>
        <w:t xml:space="preserve">Diminished Prevalence </w:t>
      </w:r>
      <w:proofErr w:type="gramStart"/>
      <w:r w:rsidRPr="00BF34A9">
        <w:rPr>
          <w:rFonts w:ascii="Century Gothic" w:hAnsi="Century Gothic" w:cstheme="minorHAnsi"/>
          <w:b w:val="0"/>
          <w:color w:val="auto"/>
          <w:sz w:val="24"/>
          <w:szCs w:val="24"/>
        </w:rPr>
        <w:t>Of</w:t>
      </w:r>
      <w:proofErr w:type="gramEnd"/>
      <w:r w:rsidRPr="00BF34A9">
        <w:rPr>
          <w:rFonts w:ascii="Century Gothic" w:hAnsi="Century Gothic" w:cstheme="minorHAnsi"/>
          <w:b w:val="0"/>
          <w:color w:val="auto"/>
          <w:sz w:val="24"/>
          <w:szCs w:val="24"/>
        </w:rPr>
        <w:t xml:space="preserve"> </w:t>
      </w:r>
      <w:proofErr w:type="spellStart"/>
      <w:r w:rsidRPr="00BF34A9">
        <w:rPr>
          <w:rFonts w:ascii="Century Gothic" w:hAnsi="Century Gothic" w:cstheme="minorHAnsi"/>
          <w:b w:val="0"/>
          <w:color w:val="auto"/>
          <w:sz w:val="24"/>
          <w:szCs w:val="24"/>
        </w:rPr>
        <w:t>Chloroquine</w:t>
      </w:r>
      <w:proofErr w:type="spellEnd"/>
      <w:r w:rsidRPr="00BF34A9">
        <w:rPr>
          <w:rFonts w:ascii="Century Gothic" w:hAnsi="Century Gothic" w:cstheme="minorHAnsi"/>
          <w:b w:val="0"/>
          <w:color w:val="auto"/>
          <w:sz w:val="24"/>
          <w:szCs w:val="24"/>
        </w:rPr>
        <w:t xml:space="preserve">-Resistant Gene Marker Pfcrt-76 13 Years After Cessation Of </w:t>
      </w:r>
      <w:proofErr w:type="spellStart"/>
      <w:r w:rsidRPr="00BF34A9">
        <w:rPr>
          <w:rFonts w:ascii="Century Gothic" w:hAnsi="Century Gothic" w:cstheme="minorHAnsi"/>
          <w:b w:val="0"/>
          <w:color w:val="auto"/>
          <w:sz w:val="24"/>
          <w:szCs w:val="24"/>
        </w:rPr>
        <w:t>Chloroquine</w:t>
      </w:r>
      <w:proofErr w:type="spellEnd"/>
      <w:r w:rsidRPr="00BF34A9">
        <w:rPr>
          <w:rFonts w:ascii="Century Gothic" w:hAnsi="Century Gothic" w:cstheme="minorHAnsi"/>
          <w:b w:val="0"/>
          <w:color w:val="auto"/>
          <w:sz w:val="24"/>
          <w:szCs w:val="24"/>
        </w:rPr>
        <w:t xml:space="preserve"> Use In </w:t>
      </w:r>
      <w:r w:rsidR="002206E9" w:rsidRPr="00BF34A9">
        <w:rPr>
          <w:rFonts w:ascii="Century Gothic" w:hAnsi="Century Gothic" w:cstheme="minorHAnsi"/>
          <w:b w:val="0"/>
          <w:color w:val="auto"/>
          <w:sz w:val="24"/>
          <w:szCs w:val="24"/>
        </w:rPr>
        <w:t>Kenya</w:t>
      </w:r>
    </w:p>
    <w:p w:rsidR="00BF34A9" w:rsidRDefault="005B4E1C" w:rsidP="00BF34A9">
      <w:pPr>
        <w:spacing w:before="100" w:beforeAutospacing="1" w:after="0" w:line="240" w:lineRule="auto"/>
        <w:jc w:val="center"/>
        <w:rPr>
          <w:rFonts w:ascii="Century Gothic" w:hAnsi="Century Gothic" w:cstheme="minorHAnsi"/>
          <w:sz w:val="20"/>
          <w:szCs w:val="20"/>
        </w:rPr>
      </w:pPr>
      <w:r>
        <w:rPr>
          <w:rFonts w:ascii="Century Gothic" w:hAnsi="Century Gothic" w:cstheme="minorHAnsi"/>
          <w:sz w:val="20"/>
          <w:szCs w:val="20"/>
        </w:rPr>
        <w:t>Presenter</w:t>
      </w:r>
      <w:r w:rsidR="00412AC0" w:rsidRPr="00BF34A9">
        <w:rPr>
          <w:rFonts w:ascii="Century Gothic" w:hAnsi="Century Gothic" w:cstheme="minorHAnsi"/>
          <w:sz w:val="20"/>
          <w:szCs w:val="20"/>
        </w:rPr>
        <w:t xml:space="preserve">: </w:t>
      </w:r>
      <w:r w:rsidR="002206E9" w:rsidRPr="00BF34A9">
        <w:rPr>
          <w:rFonts w:ascii="Century Gothic" w:hAnsi="Century Gothic" w:cstheme="minorHAnsi"/>
          <w:sz w:val="20"/>
          <w:szCs w:val="20"/>
        </w:rPr>
        <w:t xml:space="preserve">Maureen </w:t>
      </w:r>
      <w:proofErr w:type="spellStart"/>
      <w:r w:rsidR="002206E9" w:rsidRPr="00BF34A9">
        <w:rPr>
          <w:rFonts w:ascii="Century Gothic" w:hAnsi="Century Gothic" w:cstheme="minorHAnsi"/>
          <w:sz w:val="20"/>
          <w:szCs w:val="20"/>
        </w:rPr>
        <w:t>Otinga</w:t>
      </w:r>
      <w:proofErr w:type="spellEnd"/>
      <w:r w:rsidR="00412AC0" w:rsidRPr="00BF34A9">
        <w:rPr>
          <w:rFonts w:ascii="Century Gothic" w:hAnsi="Century Gothic" w:cstheme="minorHAnsi"/>
          <w:sz w:val="20"/>
          <w:szCs w:val="20"/>
        </w:rPr>
        <w:t xml:space="preserve"> </w:t>
      </w:r>
    </w:p>
    <w:p w:rsidR="00412AC0" w:rsidRPr="00FA0B09" w:rsidRDefault="005B4E1C" w:rsidP="00BF34A9">
      <w:pPr>
        <w:spacing w:before="100" w:beforeAutospacing="1" w:after="0" w:line="240" w:lineRule="auto"/>
        <w:jc w:val="center"/>
        <w:rPr>
          <w:rFonts w:ascii="Century Gothic" w:hAnsi="Century Gothic" w:cstheme="minorHAnsi"/>
          <w:sz w:val="20"/>
          <w:szCs w:val="20"/>
        </w:rPr>
      </w:pPr>
      <w:r>
        <w:rPr>
          <w:rFonts w:ascii="Century Gothic" w:hAnsi="Century Gothic" w:cstheme="minorHAnsi"/>
          <w:sz w:val="20"/>
          <w:szCs w:val="20"/>
        </w:rPr>
        <w:t>I</w:t>
      </w:r>
      <w:r w:rsidR="00412AC0" w:rsidRPr="00FA0B09">
        <w:rPr>
          <w:rFonts w:ascii="Century Gothic" w:hAnsi="Century Gothic" w:cstheme="minorHAnsi"/>
          <w:sz w:val="20"/>
          <w:szCs w:val="20"/>
        </w:rPr>
        <w:t>nvestigators:</w:t>
      </w:r>
      <w:r w:rsidR="00CE7EE8">
        <w:rPr>
          <w:rFonts w:ascii="Century Gothic" w:hAnsi="Century Gothic" w:cstheme="minorHAnsi"/>
          <w:sz w:val="20"/>
          <w:szCs w:val="20"/>
        </w:rPr>
        <w:t xml:space="preserve"> </w:t>
      </w:r>
      <w:r w:rsidR="002206E9" w:rsidRPr="00FA0B09">
        <w:rPr>
          <w:rFonts w:ascii="Century Gothic" w:hAnsi="Century Gothic" w:cstheme="minorHAnsi"/>
          <w:sz w:val="20"/>
          <w:szCs w:val="20"/>
        </w:rPr>
        <w:t>Francis Kimani</w:t>
      </w:r>
      <w:r w:rsidR="00CE7EE8" w:rsidRPr="00CE7EE8">
        <w:rPr>
          <w:rFonts w:ascii="Century Gothic" w:hAnsi="Century Gothic" w:cstheme="minorHAnsi"/>
          <w:sz w:val="20"/>
          <w:szCs w:val="20"/>
        </w:rPr>
        <w:t xml:space="preserve"> </w:t>
      </w:r>
      <w:r w:rsidR="00CE7EE8" w:rsidRPr="00FA0B09">
        <w:rPr>
          <w:rFonts w:ascii="Century Gothic" w:hAnsi="Century Gothic" w:cstheme="minorHAnsi"/>
          <w:sz w:val="20"/>
          <w:szCs w:val="20"/>
        </w:rPr>
        <w:t xml:space="preserve">William </w:t>
      </w:r>
      <w:proofErr w:type="spellStart"/>
      <w:proofErr w:type="gramStart"/>
      <w:r w:rsidR="00CE7EE8" w:rsidRPr="00FA0B09">
        <w:rPr>
          <w:rFonts w:ascii="Century Gothic" w:hAnsi="Century Gothic" w:cstheme="minorHAnsi"/>
          <w:sz w:val="20"/>
          <w:szCs w:val="20"/>
        </w:rPr>
        <w:t>Chege</w:t>
      </w:r>
      <w:proofErr w:type="spellEnd"/>
      <w:r w:rsidR="00412AC0" w:rsidRPr="00FA0B09">
        <w:rPr>
          <w:rFonts w:ascii="Century Gothic" w:hAnsi="Century Gothic" w:cstheme="minorHAnsi"/>
          <w:sz w:val="20"/>
          <w:szCs w:val="20"/>
        </w:rPr>
        <w:t xml:space="preserve"> ,</w:t>
      </w:r>
      <w:proofErr w:type="gramEnd"/>
      <w:r w:rsidR="00412AC0" w:rsidRPr="00FA0B09">
        <w:rPr>
          <w:rFonts w:ascii="Century Gothic" w:hAnsi="Century Gothic" w:cstheme="minorHAnsi"/>
          <w:sz w:val="20"/>
          <w:szCs w:val="20"/>
        </w:rPr>
        <w:t xml:space="preserve"> Edwin Too</w:t>
      </w:r>
      <w:r w:rsidR="00CE7EE8">
        <w:rPr>
          <w:rFonts w:ascii="Century Gothic" w:hAnsi="Century Gothic" w:cstheme="minorHAnsi"/>
          <w:sz w:val="20"/>
          <w:szCs w:val="20"/>
        </w:rPr>
        <w:t xml:space="preserve">, Stephen </w:t>
      </w:r>
      <w:proofErr w:type="spellStart"/>
      <w:r w:rsidR="00CE7EE8">
        <w:rPr>
          <w:rFonts w:ascii="Century Gothic" w:hAnsi="Century Gothic" w:cstheme="minorHAnsi"/>
          <w:sz w:val="20"/>
          <w:szCs w:val="20"/>
        </w:rPr>
        <w:t>Kaniaru</w:t>
      </w:r>
      <w:proofErr w:type="spellEnd"/>
      <w:r w:rsidR="00412AC0" w:rsidRPr="00FA0B09">
        <w:rPr>
          <w:rFonts w:ascii="Century Gothic" w:hAnsi="Century Gothic" w:cstheme="minorHAnsi"/>
          <w:color w:val="00B0F0"/>
          <w:sz w:val="20"/>
          <w:szCs w:val="20"/>
        </w:rPr>
        <w:t xml:space="preserve"> </w:t>
      </w:r>
      <w:r w:rsidR="00412AC0" w:rsidRPr="00FA0B09">
        <w:rPr>
          <w:rFonts w:ascii="Century Gothic" w:hAnsi="Century Gothic" w:cstheme="minorHAnsi"/>
          <w:sz w:val="20"/>
          <w:szCs w:val="20"/>
        </w:rPr>
        <w:t>and Sabah Omar</w:t>
      </w:r>
    </w:p>
    <w:p w:rsidR="002206E9" w:rsidRPr="00FA0B09" w:rsidRDefault="00412AC0" w:rsidP="002206E9">
      <w:pPr>
        <w:spacing w:before="100" w:beforeAutospacing="1" w:after="0" w:line="240" w:lineRule="auto"/>
        <w:jc w:val="center"/>
        <w:rPr>
          <w:rFonts w:ascii="Century Gothic" w:hAnsi="Century Gothic" w:cstheme="minorHAnsi"/>
          <w:sz w:val="16"/>
          <w:szCs w:val="16"/>
        </w:rPr>
      </w:pPr>
      <w:r w:rsidRPr="00FA0B09">
        <w:rPr>
          <w:rFonts w:ascii="Century Gothic" w:hAnsi="Century Gothic" w:cstheme="minorHAnsi"/>
          <w:sz w:val="16"/>
          <w:szCs w:val="16"/>
        </w:rPr>
        <w:t xml:space="preserve"> Kenya Medical Research Institute </w:t>
      </w:r>
    </w:p>
    <w:p w:rsidR="00412AC0" w:rsidRPr="00FA0B09" w:rsidRDefault="00E54839" w:rsidP="002206E9">
      <w:pPr>
        <w:spacing w:before="100" w:beforeAutospacing="1" w:after="0" w:line="240" w:lineRule="auto"/>
        <w:jc w:val="center"/>
        <w:rPr>
          <w:rFonts w:ascii="Century Gothic" w:hAnsi="Century Gothic" w:cstheme="minorHAnsi"/>
          <w:sz w:val="16"/>
          <w:szCs w:val="16"/>
        </w:rPr>
      </w:pPr>
      <w:r w:rsidRPr="00FA0B09">
        <w:rPr>
          <w:rFonts w:ascii="Century Gothic" w:hAnsi="Century Gothic" w:cstheme="minorHAnsi"/>
          <w:sz w:val="16"/>
          <w:szCs w:val="16"/>
        </w:rPr>
        <w:t>MAUREEN S. OTINGA +254726411127</w:t>
      </w:r>
      <w:r w:rsidR="00533B32" w:rsidRPr="00FA0B09">
        <w:rPr>
          <w:rFonts w:ascii="Century Gothic" w:hAnsi="Century Gothic" w:cstheme="minorHAnsi"/>
          <w:sz w:val="16"/>
          <w:szCs w:val="16"/>
        </w:rPr>
        <w:t xml:space="preserve">   </w:t>
      </w:r>
      <w:r w:rsidRPr="00FA0B09">
        <w:rPr>
          <w:rFonts w:ascii="Century Gothic" w:hAnsi="Century Gothic" w:cstheme="minorHAnsi"/>
          <w:sz w:val="16"/>
          <w:szCs w:val="16"/>
        </w:rPr>
        <w:t>mosarahnge85@gmail.com</w:t>
      </w:r>
    </w:p>
    <w:p w:rsidR="00412AC0" w:rsidRPr="00BF34A9" w:rsidRDefault="00412AC0" w:rsidP="00A10126">
      <w:pPr>
        <w:pStyle w:val="Heading1"/>
        <w:spacing w:before="100" w:beforeAutospacing="1" w:line="240" w:lineRule="auto"/>
        <w:rPr>
          <w:rFonts w:ascii="Century Gothic" w:hAnsi="Century Gothic" w:cstheme="minorHAnsi"/>
          <w:color w:val="auto"/>
          <w:sz w:val="24"/>
          <w:szCs w:val="24"/>
        </w:rPr>
      </w:pPr>
      <w:bookmarkStart w:id="1" w:name="_Toc320556670"/>
      <w:bookmarkStart w:id="2" w:name="_Toc320556948"/>
      <w:bookmarkStart w:id="3" w:name="_Toc320695086"/>
      <w:bookmarkStart w:id="4" w:name="_Toc337802596"/>
      <w:r w:rsidRPr="00BF34A9">
        <w:rPr>
          <w:rFonts w:ascii="Century Gothic" w:hAnsi="Century Gothic" w:cstheme="minorHAnsi"/>
          <w:color w:val="auto"/>
          <w:sz w:val="24"/>
          <w:szCs w:val="24"/>
        </w:rPr>
        <w:t>Abstract</w:t>
      </w:r>
      <w:bookmarkEnd w:id="1"/>
      <w:bookmarkEnd w:id="2"/>
      <w:bookmarkEnd w:id="3"/>
      <w:bookmarkEnd w:id="4"/>
    </w:p>
    <w:p w:rsidR="00A10126" w:rsidRPr="00FA0B09" w:rsidRDefault="008A680A" w:rsidP="008A680A">
      <w:pPr>
        <w:spacing w:before="100" w:beforeAutospacing="1" w:line="240" w:lineRule="auto"/>
        <w:jc w:val="both"/>
        <w:rPr>
          <w:rFonts w:ascii="Century Gothic" w:hAnsi="Century Gothic"/>
          <w:sz w:val="24"/>
          <w:szCs w:val="24"/>
        </w:rPr>
      </w:pPr>
      <w:proofErr w:type="gramStart"/>
      <w:r>
        <w:rPr>
          <w:rFonts w:ascii="Century Gothic" w:hAnsi="Century Gothic"/>
          <w:b/>
          <w:i/>
          <w:sz w:val="24"/>
          <w:szCs w:val="24"/>
        </w:rPr>
        <w:t>BACKGROUND.</w:t>
      </w:r>
      <w:proofErr w:type="gramEnd"/>
      <w:r w:rsidR="00FA0B09">
        <w:rPr>
          <w:rFonts w:ascii="Century Gothic" w:hAnsi="Century Gothic"/>
          <w:sz w:val="24"/>
          <w:szCs w:val="24"/>
        </w:rPr>
        <w:t xml:space="preserve"> </w:t>
      </w:r>
      <w:r w:rsidR="00A10126" w:rsidRPr="00FA0B09">
        <w:rPr>
          <w:rFonts w:ascii="Century Gothic" w:hAnsi="Century Gothic"/>
          <w:sz w:val="24"/>
          <w:szCs w:val="24"/>
        </w:rPr>
        <w:t xml:space="preserve">Plasmodium falciparum resistance to </w:t>
      </w:r>
      <w:proofErr w:type="spellStart"/>
      <w:r w:rsidR="00A10126" w:rsidRPr="00FA0B09">
        <w:rPr>
          <w:rFonts w:ascii="Century Gothic" w:hAnsi="Century Gothic"/>
          <w:sz w:val="24"/>
          <w:szCs w:val="24"/>
        </w:rPr>
        <w:t>chloroquine</w:t>
      </w:r>
      <w:proofErr w:type="spellEnd"/>
      <w:r w:rsidR="00A10126" w:rsidRPr="00FA0B09">
        <w:rPr>
          <w:rFonts w:ascii="Century Gothic" w:hAnsi="Century Gothic"/>
          <w:sz w:val="24"/>
          <w:szCs w:val="24"/>
        </w:rPr>
        <w:t xml:space="preserve"> (CQ</w:t>
      </w:r>
      <w:r w:rsidR="002206E9" w:rsidRPr="00FA0B09">
        <w:rPr>
          <w:rFonts w:ascii="Century Gothic" w:hAnsi="Century Gothic"/>
          <w:sz w:val="24"/>
          <w:szCs w:val="24"/>
        </w:rPr>
        <w:t>)</w:t>
      </w:r>
      <w:r w:rsidR="00A10126" w:rsidRPr="00FA0B09">
        <w:rPr>
          <w:rFonts w:ascii="Century Gothic" w:hAnsi="Century Gothic"/>
          <w:sz w:val="24"/>
          <w:szCs w:val="24"/>
        </w:rPr>
        <w:t xml:space="preserve"> Resistance has been proven to be due to point mutations on the parasite’s </w:t>
      </w:r>
      <w:proofErr w:type="spellStart"/>
      <w:r w:rsidR="00A10126" w:rsidRPr="00FA0B09">
        <w:rPr>
          <w:rFonts w:ascii="Century Gothic" w:hAnsi="Century Gothic"/>
          <w:sz w:val="24"/>
          <w:szCs w:val="24"/>
        </w:rPr>
        <w:t>pfcrt</w:t>
      </w:r>
      <w:proofErr w:type="spellEnd"/>
      <w:r w:rsidR="00BF34A9">
        <w:rPr>
          <w:rFonts w:ascii="Century Gothic" w:hAnsi="Century Gothic"/>
          <w:sz w:val="24"/>
          <w:szCs w:val="24"/>
        </w:rPr>
        <w:t xml:space="preserve"> gene, particularly on codon 76. </w:t>
      </w:r>
      <w:r w:rsidR="00A10126" w:rsidRPr="00FA0B09">
        <w:rPr>
          <w:rFonts w:ascii="Century Gothic" w:hAnsi="Century Gothic"/>
          <w:sz w:val="24"/>
          <w:szCs w:val="24"/>
        </w:rPr>
        <w:t xml:space="preserve">This study sought to determine the prevalence of </w:t>
      </w:r>
      <w:proofErr w:type="spellStart"/>
      <w:r w:rsidR="00A10126" w:rsidRPr="00FA0B09">
        <w:rPr>
          <w:rFonts w:ascii="Century Gothic" w:hAnsi="Century Gothic"/>
          <w:sz w:val="24"/>
          <w:szCs w:val="24"/>
        </w:rPr>
        <w:t>pfcrt</w:t>
      </w:r>
      <w:proofErr w:type="spellEnd"/>
      <w:r w:rsidR="00A10126" w:rsidRPr="00FA0B09">
        <w:rPr>
          <w:rFonts w:ascii="Century Gothic" w:hAnsi="Century Gothic"/>
          <w:sz w:val="24"/>
          <w:szCs w:val="24"/>
        </w:rPr>
        <w:t xml:space="preserve"> K76T mutation 13 years after CQ</w:t>
      </w:r>
      <w:r w:rsidR="00FA0B09">
        <w:rPr>
          <w:rFonts w:ascii="Century Gothic" w:hAnsi="Century Gothic"/>
          <w:sz w:val="24"/>
          <w:szCs w:val="24"/>
        </w:rPr>
        <w:t xml:space="preserve"> cessation in </w:t>
      </w:r>
      <w:r w:rsidR="00A10126" w:rsidRPr="00FA0B09">
        <w:rPr>
          <w:rFonts w:ascii="Century Gothic" w:hAnsi="Century Gothic"/>
          <w:sz w:val="24"/>
          <w:szCs w:val="24"/>
        </w:rPr>
        <w:t>Kenya.</w:t>
      </w:r>
      <w:r w:rsidR="00FA0B09">
        <w:rPr>
          <w:rFonts w:ascii="Century Gothic" w:hAnsi="Century Gothic"/>
          <w:sz w:val="24"/>
          <w:szCs w:val="24"/>
        </w:rPr>
        <w:t xml:space="preserve"> </w:t>
      </w:r>
      <w:r>
        <w:rPr>
          <w:rFonts w:ascii="Century Gothic" w:hAnsi="Century Gothic"/>
          <w:b/>
          <w:i/>
          <w:sz w:val="24"/>
          <w:szCs w:val="24"/>
        </w:rPr>
        <w:t xml:space="preserve">METHODS. </w:t>
      </w:r>
      <w:r w:rsidR="00A10126" w:rsidRPr="00FA0B09">
        <w:rPr>
          <w:rFonts w:ascii="Century Gothic" w:hAnsi="Century Gothic"/>
          <w:sz w:val="24"/>
          <w:szCs w:val="24"/>
        </w:rPr>
        <w:t xml:space="preserve">Finger-prick whole blood was collected on 3MM </w:t>
      </w:r>
      <w:proofErr w:type="spellStart"/>
      <w:r w:rsidR="00A10126" w:rsidRPr="00FA0B09">
        <w:rPr>
          <w:rFonts w:ascii="Century Gothic" w:hAnsi="Century Gothic"/>
          <w:sz w:val="24"/>
          <w:szCs w:val="24"/>
        </w:rPr>
        <w:t>Whatman</w:t>
      </w:r>
      <w:proofErr w:type="spellEnd"/>
      <w:r w:rsidR="00A10126" w:rsidRPr="00FA0B09">
        <w:rPr>
          <w:rFonts w:ascii="Century Gothic" w:hAnsi="Century Gothic"/>
          <w:sz w:val="24"/>
          <w:szCs w:val="24"/>
        </w:rPr>
        <w:t xml:space="preserve"> ® filter paper from 99 falcip</w:t>
      </w:r>
      <w:r w:rsidR="002206E9" w:rsidRPr="00FA0B09">
        <w:rPr>
          <w:rFonts w:ascii="Century Gothic" w:hAnsi="Century Gothic"/>
          <w:sz w:val="24"/>
          <w:szCs w:val="24"/>
        </w:rPr>
        <w:t xml:space="preserve">arum malaria patients. </w:t>
      </w:r>
      <w:r w:rsidR="00A10126" w:rsidRPr="00FA0B09">
        <w:rPr>
          <w:rFonts w:ascii="Century Gothic" w:hAnsi="Century Gothic"/>
          <w:sz w:val="24"/>
          <w:szCs w:val="24"/>
        </w:rPr>
        <w:t xml:space="preserve">DNA was extracted via </w:t>
      </w:r>
      <w:proofErr w:type="spellStart"/>
      <w:r w:rsidR="00A10126" w:rsidRPr="00FA0B09">
        <w:rPr>
          <w:rFonts w:ascii="Century Gothic" w:hAnsi="Century Gothic"/>
          <w:sz w:val="24"/>
          <w:szCs w:val="24"/>
        </w:rPr>
        <w:t>Chelex</w:t>
      </w:r>
      <w:proofErr w:type="spellEnd"/>
      <w:r w:rsidR="00A10126" w:rsidRPr="00FA0B09">
        <w:rPr>
          <w:rFonts w:ascii="Century Gothic" w:hAnsi="Century Gothic"/>
          <w:sz w:val="24"/>
          <w:szCs w:val="24"/>
        </w:rPr>
        <w:t xml:space="preserve"> method from blood spots and used as template in nested PCR amplification of </w:t>
      </w:r>
      <w:proofErr w:type="spellStart"/>
      <w:r w:rsidR="00A10126" w:rsidRPr="00FA0B09">
        <w:rPr>
          <w:rFonts w:ascii="Century Gothic" w:hAnsi="Century Gothic"/>
          <w:sz w:val="24"/>
          <w:szCs w:val="24"/>
        </w:rPr>
        <w:t>pfcrt</w:t>
      </w:r>
      <w:proofErr w:type="spellEnd"/>
      <w:r w:rsidR="00A10126" w:rsidRPr="00FA0B09">
        <w:rPr>
          <w:rFonts w:ascii="Century Gothic" w:hAnsi="Century Gothic"/>
          <w:sz w:val="24"/>
          <w:szCs w:val="24"/>
        </w:rPr>
        <w:t xml:space="preserve">. Apo1 restriction enzyme was used to digest the amplified DNA to identify the samples as wild type or sensitive at codon 76. Prevalence figures of the mutant </w:t>
      </w:r>
      <w:proofErr w:type="spellStart"/>
      <w:r w:rsidR="00A10126" w:rsidRPr="00FA0B09">
        <w:rPr>
          <w:rFonts w:ascii="Century Gothic" w:hAnsi="Century Gothic"/>
          <w:sz w:val="24"/>
          <w:szCs w:val="24"/>
        </w:rPr>
        <w:t>pfcrt</w:t>
      </w:r>
      <w:proofErr w:type="spellEnd"/>
      <w:r w:rsidR="00A10126" w:rsidRPr="00FA0B09">
        <w:rPr>
          <w:rFonts w:ascii="Century Gothic" w:hAnsi="Century Gothic"/>
          <w:sz w:val="24"/>
          <w:szCs w:val="24"/>
        </w:rPr>
        <w:t xml:space="preserve"> 76T gene were calculated by dividing the number of samples bearing the mutant gene with the total number of samples multiplied by 100 %. Chi square tests were used to test the significance of the findings against previous prevalence figures.</w:t>
      </w:r>
      <w:r w:rsidR="00FA0B09">
        <w:rPr>
          <w:rFonts w:ascii="Century Gothic" w:hAnsi="Century Gothic"/>
          <w:sz w:val="24"/>
          <w:szCs w:val="24"/>
        </w:rPr>
        <w:t xml:space="preserve"> </w:t>
      </w:r>
      <w:proofErr w:type="gramStart"/>
      <w:r>
        <w:rPr>
          <w:rFonts w:ascii="Century Gothic" w:hAnsi="Century Gothic"/>
          <w:b/>
          <w:i/>
          <w:sz w:val="24"/>
          <w:szCs w:val="24"/>
        </w:rPr>
        <w:t>RESULTS.</w:t>
      </w:r>
      <w:proofErr w:type="gramEnd"/>
      <w:r w:rsidR="00FA0B09">
        <w:rPr>
          <w:rFonts w:ascii="Century Gothic" w:hAnsi="Century Gothic"/>
          <w:sz w:val="24"/>
          <w:szCs w:val="24"/>
        </w:rPr>
        <w:t xml:space="preserve"> </w:t>
      </w:r>
      <w:r w:rsidR="00A10126" w:rsidRPr="00FA0B09">
        <w:rPr>
          <w:rFonts w:ascii="Century Gothic" w:hAnsi="Century Gothic"/>
          <w:sz w:val="24"/>
          <w:szCs w:val="24"/>
        </w:rPr>
        <w:t xml:space="preserve">Out of 99 clinical samples collected in 2013, prevalence of mutant </w:t>
      </w:r>
      <w:proofErr w:type="spellStart"/>
      <w:r w:rsidR="00A10126" w:rsidRPr="00FA0B09">
        <w:rPr>
          <w:rFonts w:ascii="Century Gothic" w:hAnsi="Century Gothic"/>
          <w:sz w:val="24"/>
          <w:szCs w:val="24"/>
        </w:rPr>
        <w:t>pfcrt</w:t>
      </w:r>
      <w:proofErr w:type="spellEnd"/>
      <w:r w:rsidR="00A10126" w:rsidRPr="00FA0B09">
        <w:rPr>
          <w:rFonts w:ascii="Century Gothic" w:hAnsi="Century Gothic"/>
          <w:sz w:val="24"/>
          <w:szCs w:val="24"/>
        </w:rPr>
        <w:t xml:space="preserve"> 76T gene stood at 41 %.</w:t>
      </w:r>
      <w:r w:rsidR="00BF34A9">
        <w:rPr>
          <w:rFonts w:ascii="Century Gothic" w:hAnsi="Century Gothic"/>
          <w:sz w:val="24"/>
          <w:szCs w:val="24"/>
        </w:rPr>
        <w:t xml:space="preserve"> </w:t>
      </w:r>
      <w:r>
        <w:rPr>
          <w:rFonts w:ascii="Century Gothic" w:hAnsi="Century Gothic"/>
          <w:b/>
          <w:i/>
          <w:sz w:val="24"/>
          <w:szCs w:val="24"/>
        </w:rPr>
        <w:t>CONCLUSION.</w:t>
      </w:r>
      <w:r w:rsidR="00A10126" w:rsidRPr="00FA0B09">
        <w:rPr>
          <w:rFonts w:ascii="Century Gothic" w:hAnsi="Century Gothic"/>
          <w:sz w:val="24"/>
          <w:szCs w:val="24"/>
        </w:rPr>
        <w:t xml:space="preserve">The results indicate a significant [χ 2 test, P ≤ 0.05 (2006 </w:t>
      </w:r>
      <w:proofErr w:type="spellStart"/>
      <w:r w:rsidR="00A10126" w:rsidRPr="00FA0B09">
        <w:rPr>
          <w:rFonts w:ascii="Century Gothic" w:hAnsi="Century Gothic"/>
          <w:sz w:val="24"/>
          <w:szCs w:val="24"/>
        </w:rPr>
        <w:t>vs</w:t>
      </w:r>
      <w:proofErr w:type="spellEnd"/>
      <w:r w:rsidR="00A10126" w:rsidRPr="00FA0B09">
        <w:rPr>
          <w:rFonts w:ascii="Century Gothic" w:hAnsi="Century Gothic"/>
          <w:sz w:val="24"/>
          <w:szCs w:val="24"/>
        </w:rPr>
        <w:t xml:space="preserve"> 2013)] reversal to sensitivity by the P. falciparum population in the study site compared to the situation reported in 2006 at the same site. This could be driven by diminished use of CQ in the study</w:t>
      </w:r>
      <w:r w:rsidR="002206E9" w:rsidRPr="00FA0B09">
        <w:rPr>
          <w:rFonts w:ascii="Century Gothic" w:hAnsi="Century Gothic"/>
          <w:sz w:val="24"/>
          <w:szCs w:val="24"/>
        </w:rPr>
        <w:t xml:space="preserve"> area in line with the </w:t>
      </w:r>
      <w:r w:rsidR="00A10126" w:rsidRPr="00FA0B09">
        <w:rPr>
          <w:rFonts w:ascii="Century Gothic" w:hAnsi="Century Gothic"/>
          <w:sz w:val="24"/>
          <w:szCs w:val="24"/>
        </w:rPr>
        <w:t xml:space="preserve">policy. </w:t>
      </w:r>
      <w:r w:rsidR="00FA0B09" w:rsidRPr="00FA0B09">
        <w:rPr>
          <w:rFonts w:ascii="Century Gothic" w:hAnsi="Century Gothic"/>
          <w:sz w:val="24"/>
          <w:szCs w:val="24"/>
        </w:rPr>
        <w:t>Prevalence</w:t>
      </w:r>
      <w:r w:rsidR="00A10126" w:rsidRPr="00FA0B09">
        <w:rPr>
          <w:rFonts w:ascii="Century Gothic" w:hAnsi="Century Gothic"/>
          <w:sz w:val="24"/>
          <w:szCs w:val="24"/>
        </w:rPr>
        <w:t xml:space="preserve"> of the </w:t>
      </w:r>
      <w:proofErr w:type="spellStart"/>
      <w:r w:rsidR="00A10126" w:rsidRPr="00FA0B09">
        <w:rPr>
          <w:rFonts w:ascii="Century Gothic" w:hAnsi="Century Gothic"/>
          <w:sz w:val="24"/>
          <w:szCs w:val="24"/>
        </w:rPr>
        <w:t>pfcrt</w:t>
      </w:r>
      <w:proofErr w:type="spellEnd"/>
      <w:r w:rsidR="00A10126" w:rsidRPr="00FA0B09">
        <w:rPr>
          <w:rFonts w:ascii="Century Gothic" w:hAnsi="Century Gothic"/>
          <w:sz w:val="24"/>
          <w:szCs w:val="24"/>
        </w:rPr>
        <w:t xml:space="preserve"> 76T gene could be expanded countrywide to establish the CQ sensitivity status and predict a date when CQ may be re-introduced as part of malaria chemotherapy.</w:t>
      </w:r>
    </w:p>
    <w:p w:rsidR="004576E7" w:rsidRPr="00E54839" w:rsidRDefault="004576E7" w:rsidP="00FA0B09">
      <w:pPr>
        <w:spacing w:before="100" w:beforeAutospacing="1" w:line="240" w:lineRule="auto"/>
        <w:jc w:val="both"/>
        <w:rPr>
          <w:rFonts w:ascii="Century Gothic" w:hAnsi="Century Gothic"/>
        </w:rPr>
      </w:pPr>
    </w:p>
    <w:sectPr w:rsidR="004576E7" w:rsidRPr="00E548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AC0"/>
    <w:rsid w:val="00184DAB"/>
    <w:rsid w:val="002206E9"/>
    <w:rsid w:val="00221139"/>
    <w:rsid w:val="003E4F79"/>
    <w:rsid w:val="00412AC0"/>
    <w:rsid w:val="004576E7"/>
    <w:rsid w:val="004E51A8"/>
    <w:rsid w:val="005330D5"/>
    <w:rsid w:val="00533B32"/>
    <w:rsid w:val="00561F7E"/>
    <w:rsid w:val="005B4E1C"/>
    <w:rsid w:val="00677F6E"/>
    <w:rsid w:val="008A680A"/>
    <w:rsid w:val="00A10126"/>
    <w:rsid w:val="00B31316"/>
    <w:rsid w:val="00BD2549"/>
    <w:rsid w:val="00BF34A9"/>
    <w:rsid w:val="00C4333C"/>
    <w:rsid w:val="00CE7EE8"/>
    <w:rsid w:val="00E54839"/>
    <w:rsid w:val="00E656F2"/>
    <w:rsid w:val="00FA0B09"/>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AC0"/>
    <w:rPr>
      <w:rFonts w:ascii="Calibri" w:eastAsia="Calibri" w:hAnsi="Calibri" w:cs="Times New Roman"/>
      <w:lang w:val="en-GB"/>
    </w:rPr>
  </w:style>
  <w:style w:type="paragraph" w:styleId="Heading1">
    <w:name w:val="heading 1"/>
    <w:basedOn w:val="Normal"/>
    <w:next w:val="Normal"/>
    <w:link w:val="Heading1Char"/>
    <w:uiPriority w:val="9"/>
    <w:qFormat/>
    <w:rsid w:val="00412AC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12AC0"/>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AC0"/>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uiPriority w:val="9"/>
    <w:rsid w:val="00412AC0"/>
    <w:rPr>
      <w:rFonts w:ascii="Cambria" w:eastAsia="Times New Roman" w:hAnsi="Cambria" w:cs="Times New Roman"/>
      <w:b/>
      <w:bCs/>
      <w:color w:val="4F81BD"/>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AC0"/>
    <w:rPr>
      <w:rFonts w:ascii="Calibri" w:eastAsia="Calibri" w:hAnsi="Calibri" w:cs="Times New Roman"/>
      <w:lang w:val="en-GB"/>
    </w:rPr>
  </w:style>
  <w:style w:type="paragraph" w:styleId="Heading1">
    <w:name w:val="heading 1"/>
    <w:basedOn w:val="Normal"/>
    <w:next w:val="Normal"/>
    <w:link w:val="Heading1Char"/>
    <w:uiPriority w:val="9"/>
    <w:qFormat/>
    <w:rsid w:val="00412AC0"/>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12AC0"/>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AC0"/>
    <w:rPr>
      <w:rFonts w:ascii="Cambria" w:eastAsia="Times New Roman" w:hAnsi="Cambria" w:cs="Times New Roman"/>
      <w:b/>
      <w:bCs/>
      <w:color w:val="365F91"/>
      <w:sz w:val="28"/>
      <w:szCs w:val="28"/>
      <w:lang w:val="en-GB"/>
    </w:rPr>
  </w:style>
  <w:style w:type="character" w:customStyle="1" w:styleId="Heading2Char">
    <w:name w:val="Heading 2 Char"/>
    <w:basedOn w:val="DefaultParagraphFont"/>
    <w:link w:val="Heading2"/>
    <w:uiPriority w:val="9"/>
    <w:rsid w:val="00412AC0"/>
    <w:rPr>
      <w:rFonts w:ascii="Cambria" w:eastAsia="Times New Roman" w:hAnsi="Cambria" w:cs="Times New Roman"/>
      <w:b/>
      <w:bCs/>
      <w:color w:val="4F81B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Maureen Akinyi</cp:lastModifiedBy>
  <cp:revision>2</cp:revision>
  <dcterms:created xsi:type="dcterms:W3CDTF">2018-06-25T11:48:00Z</dcterms:created>
  <dcterms:modified xsi:type="dcterms:W3CDTF">2018-06-25T11:48:00Z</dcterms:modified>
</cp:coreProperties>
</file>