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96" w:rsidRPr="00692396" w:rsidRDefault="00692396" w:rsidP="00692396">
      <w:pPr>
        <w:jc w:val="center"/>
        <w:rPr>
          <w:b/>
          <w:bCs/>
          <w:sz w:val="26"/>
          <w:szCs w:val="26"/>
        </w:rPr>
      </w:pPr>
      <w:r w:rsidRPr="00692396">
        <w:rPr>
          <w:b/>
          <w:bCs/>
          <w:sz w:val="26"/>
          <w:szCs w:val="26"/>
        </w:rPr>
        <w:t>Pattern and risk factorts of sharp object injuries among health care workers in Tertiary hospitals –Taif –Saudi Arabia</w:t>
      </w:r>
    </w:p>
    <w:p w:rsidR="00692396" w:rsidRDefault="00692396">
      <w:pPr>
        <w:rPr>
          <w:sz w:val="22"/>
          <w:szCs w:val="22"/>
        </w:rPr>
      </w:pPr>
    </w:p>
    <w:p w:rsidR="001E7B81" w:rsidRDefault="001A1162" w:rsidP="008A3D22">
      <w:pPr>
        <w:rPr>
          <w:sz w:val="22"/>
          <w:szCs w:val="22"/>
        </w:rPr>
      </w:pPr>
      <w:r>
        <w:rPr>
          <w:sz w:val="22"/>
          <w:szCs w:val="22"/>
        </w:rPr>
        <w:t>Raja A Fadil 1, Nuha</w:t>
      </w:r>
      <w:r w:rsidR="00EF53DE">
        <w:rPr>
          <w:sz w:val="22"/>
          <w:szCs w:val="22"/>
        </w:rPr>
        <w:t xml:space="preserve"> A Abdelmutalab</w:t>
      </w:r>
      <w:r>
        <w:rPr>
          <w:sz w:val="22"/>
          <w:szCs w:val="22"/>
        </w:rPr>
        <w:t xml:space="preserve"> </w:t>
      </w:r>
      <w:r w:rsidR="008A3D22">
        <w:rPr>
          <w:sz w:val="22"/>
          <w:szCs w:val="22"/>
        </w:rPr>
        <w:t>1</w:t>
      </w:r>
      <w:r w:rsidR="00202589">
        <w:rPr>
          <w:sz w:val="22"/>
          <w:szCs w:val="22"/>
        </w:rPr>
        <w:t xml:space="preserve">  </w:t>
      </w:r>
      <w:r>
        <w:rPr>
          <w:sz w:val="22"/>
          <w:szCs w:val="22"/>
        </w:rPr>
        <w:t>, Sitalnesa A Abdelhafeez</w:t>
      </w:r>
      <w:r w:rsidR="000E2EA2">
        <w:rPr>
          <w:sz w:val="22"/>
          <w:szCs w:val="22"/>
        </w:rPr>
        <w:t xml:space="preserve"> </w:t>
      </w:r>
      <w:r w:rsidR="008A3D22">
        <w:rPr>
          <w:sz w:val="22"/>
          <w:szCs w:val="22"/>
        </w:rPr>
        <w:t>2</w:t>
      </w:r>
      <w:r>
        <w:rPr>
          <w:sz w:val="22"/>
          <w:szCs w:val="22"/>
        </w:rPr>
        <w:t xml:space="preserve"> , </w:t>
      </w:r>
      <w:r w:rsidR="001E7B81">
        <w:rPr>
          <w:sz w:val="22"/>
          <w:szCs w:val="22"/>
        </w:rPr>
        <w:t xml:space="preserve">WalidMazi </w:t>
      </w:r>
      <w:r w:rsidR="008A3D22">
        <w:rPr>
          <w:sz w:val="22"/>
          <w:szCs w:val="22"/>
        </w:rPr>
        <w:t>3</w:t>
      </w:r>
      <w:r w:rsidR="001E7B81">
        <w:rPr>
          <w:sz w:val="22"/>
          <w:szCs w:val="22"/>
        </w:rPr>
        <w:t>,</w:t>
      </w:r>
      <w:r w:rsidR="00064FC4">
        <w:rPr>
          <w:sz w:val="22"/>
          <w:szCs w:val="22"/>
        </w:rPr>
        <w:t xml:space="preserve"> Sultan Algamdi </w:t>
      </w:r>
      <w:r w:rsidR="008A3D22">
        <w:rPr>
          <w:sz w:val="22"/>
          <w:szCs w:val="22"/>
        </w:rPr>
        <w:t>4</w:t>
      </w:r>
      <w:r w:rsidR="00064FC4">
        <w:rPr>
          <w:sz w:val="22"/>
          <w:szCs w:val="22"/>
        </w:rPr>
        <w:t>,</w:t>
      </w:r>
      <w:r w:rsidR="0020630D">
        <w:rPr>
          <w:sz w:val="22"/>
          <w:szCs w:val="22"/>
        </w:rPr>
        <w:t>Muzana M Shelwy</w:t>
      </w:r>
      <w:r w:rsidR="000E2EA2">
        <w:rPr>
          <w:sz w:val="22"/>
          <w:szCs w:val="22"/>
        </w:rPr>
        <w:t xml:space="preserve"> </w:t>
      </w:r>
      <w:r w:rsidR="008A3D22">
        <w:rPr>
          <w:sz w:val="22"/>
          <w:szCs w:val="22"/>
        </w:rPr>
        <w:t>5</w:t>
      </w:r>
      <w:r w:rsidR="000E2EA2">
        <w:rPr>
          <w:sz w:val="22"/>
          <w:szCs w:val="22"/>
        </w:rPr>
        <w:t>.</w:t>
      </w:r>
      <w:r w:rsidR="00D73124">
        <w:rPr>
          <w:sz w:val="22"/>
          <w:szCs w:val="22"/>
        </w:rPr>
        <w:t>Nabihabouafia</w:t>
      </w:r>
      <w:r w:rsidR="000E2EA2">
        <w:rPr>
          <w:sz w:val="22"/>
          <w:szCs w:val="22"/>
        </w:rPr>
        <w:t xml:space="preserve"> </w:t>
      </w:r>
      <w:r w:rsidR="008A3D22">
        <w:rPr>
          <w:sz w:val="22"/>
          <w:szCs w:val="22"/>
        </w:rPr>
        <w:t>6</w:t>
      </w:r>
      <w:r w:rsidR="005D3F8E">
        <w:rPr>
          <w:sz w:val="22"/>
          <w:szCs w:val="22"/>
        </w:rPr>
        <w:t xml:space="preserve"> ,Salih E Alzahrani</w:t>
      </w:r>
      <w:r w:rsidR="008A3D22">
        <w:rPr>
          <w:sz w:val="22"/>
          <w:szCs w:val="22"/>
        </w:rPr>
        <w:t>7</w:t>
      </w:r>
      <w:bookmarkStart w:id="0" w:name="_GoBack"/>
      <w:bookmarkEnd w:id="0"/>
    </w:p>
    <w:p w:rsidR="001E7B81" w:rsidRDefault="001E7B81">
      <w:pPr>
        <w:rPr>
          <w:sz w:val="22"/>
          <w:szCs w:val="22"/>
        </w:rPr>
      </w:pPr>
    </w:p>
    <w:p w:rsidR="00EF53DE" w:rsidRDefault="001E7B81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EF53DE">
        <w:rPr>
          <w:sz w:val="22"/>
          <w:szCs w:val="22"/>
        </w:rPr>
        <w:t xml:space="preserve"> Public Health department , King Abdulaziz Specialist Hospital , Taif , Saudi Arabia.</w:t>
      </w:r>
    </w:p>
    <w:p w:rsidR="00692396" w:rsidRDefault="000E2EA2" w:rsidP="000E2EA2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EF53DE">
        <w:rPr>
          <w:sz w:val="22"/>
          <w:szCs w:val="22"/>
        </w:rPr>
        <w:t xml:space="preserve"> </w:t>
      </w:r>
      <w:r>
        <w:rPr>
          <w:sz w:val="22"/>
          <w:szCs w:val="22"/>
        </w:rPr>
        <w:t>Infection Control department , King Faisal Medical Complex , Taif , Saudi Arabia Medical 3 Education department , King Abdulaziz Specialist Hospital , Taif , Saudi Arabia.</w:t>
      </w:r>
    </w:p>
    <w:p w:rsidR="0020630D" w:rsidRDefault="0020630D" w:rsidP="00EF53DE">
      <w:pPr>
        <w:rPr>
          <w:sz w:val="22"/>
          <w:szCs w:val="22"/>
        </w:rPr>
      </w:pPr>
      <w:r>
        <w:rPr>
          <w:sz w:val="22"/>
          <w:szCs w:val="22"/>
        </w:rPr>
        <w:t>4 Infection Control department , King Faisal Medical Complex , Taif , Saudi Arabia.</w:t>
      </w:r>
    </w:p>
    <w:p w:rsidR="00CF025C" w:rsidRDefault="0020630D" w:rsidP="00CF025C">
      <w:pPr>
        <w:rPr>
          <w:sz w:val="22"/>
          <w:szCs w:val="22"/>
        </w:rPr>
      </w:pPr>
      <w:r>
        <w:rPr>
          <w:sz w:val="22"/>
          <w:szCs w:val="22"/>
        </w:rPr>
        <w:t xml:space="preserve">5 </w:t>
      </w:r>
      <w:r w:rsidR="00CF025C">
        <w:rPr>
          <w:sz w:val="22"/>
          <w:szCs w:val="22"/>
        </w:rPr>
        <w:t>Public Health department , King Abdulaziz Specialist Hospital , Taif , Saudi Arabia.</w:t>
      </w:r>
    </w:p>
    <w:p w:rsidR="00CF025C" w:rsidRDefault="00CF025C" w:rsidP="00CF025C">
      <w:pPr>
        <w:rPr>
          <w:sz w:val="22"/>
          <w:szCs w:val="22"/>
        </w:rPr>
      </w:pPr>
      <w:r>
        <w:rPr>
          <w:sz w:val="22"/>
          <w:szCs w:val="22"/>
        </w:rPr>
        <w:t>6 Public Health department , King Abdulaziz Specialist Hospital , Taif , Saudi Arabia.</w:t>
      </w:r>
    </w:p>
    <w:p w:rsidR="00EF53DE" w:rsidRPr="0020630D" w:rsidRDefault="00CF025C" w:rsidP="00D73124">
      <w:pPr>
        <w:rPr>
          <w:sz w:val="22"/>
          <w:szCs w:val="22"/>
        </w:rPr>
      </w:pPr>
      <w:r>
        <w:rPr>
          <w:sz w:val="22"/>
          <w:szCs w:val="22"/>
        </w:rPr>
        <w:t xml:space="preserve">7 </w:t>
      </w:r>
      <w:r w:rsidR="00D73124">
        <w:rPr>
          <w:sz w:val="22"/>
          <w:szCs w:val="22"/>
        </w:rPr>
        <w:t>Infection Control department , King Faisal Medical Complex , Taif , Saudi Arabia.</w:t>
      </w:r>
    </w:p>
    <w:p w:rsidR="00692396" w:rsidRPr="00E457FB" w:rsidRDefault="00692396" w:rsidP="0020630D">
      <w:pPr>
        <w:spacing w:line="276" w:lineRule="auto"/>
        <w:rPr>
          <w:b/>
          <w:bCs/>
        </w:rPr>
      </w:pPr>
      <w:r w:rsidRPr="00E457FB">
        <w:rPr>
          <w:b/>
          <w:bCs/>
        </w:rPr>
        <w:t>Abstract</w:t>
      </w:r>
      <w:r w:rsidR="003C7AD3" w:rsidRPr="00E457FB">
        <w:rPr>
          <w:b/>
          <w:bCs/>
        </w:rPr>
        <w:t>:</w:t>
      </w:r>
    </w:p>
    <w:p w:rsidR="00692396" w:rsidRPr="00E457FB" w:rsidRDefault="00692396" w:rsidP="0020630D">
      <w:pPr>
        <w:spacing w:line="276" w:lineRule="auto"/>
        <w:rPr>
          <w:rFonts w:cs="Times New Roman"/>
          <w:b/>
          <w:bCs/>
        </w:rPr>
      </w:pPr>
      <w:r w:rsidRPr="00E457FB">
        <w:rPr>
          <w:rFonts w:cs="Times New Roman"/>
          <w:b/>
          <w:bCs/>
        </w:rPr>
        <w:t>Background:</w:t>
      </w:r>
    </w:p>
    <w:p w:rsidR="00692396" w:rsidRPr="00E457FB" w:rsidRDefault="00692396" w:rsidP="008B292E">
      <w:pPr>
        <w:autoSpaceDE w:val="0"/>
        <w:autoSpaceDN w:val="0"/>
        <w:adjustRightInd w:val="0"/>
        <w:spacing w:line="276" w:lineRule="auto"/>
        <w:rPr>
          <w:rFonts w:cs="Times New Roman"/>
          <w:sz w:val="22"/>
          <w:szCs w:val="22"/>
        </w:rPr>
      </w:pPr>
      <w:r w:rsidRPr="00E457FB">
        <w:rPr>
          <w:rFonts w:cs="Times New Roman"/>
          <w:sz w:val="22"/>
          <w:szCs w:val="22"/>
        </w:rPr>
        <w:t>Accidental occupational exposure of healthcare workers to blood and b</w:t>
      </w:r>
      <w:r w:rsidR="008B292E">
        <w:rPr>
          <w:rFonts w:cs="Times New Roman"/>
          <w:sz w:val="22"/>
          <w:szCs w:val="22"/>
        </w:rPr>
        <w:t>ody fluids after skin injury</w:t>
      </w:r>
      <w:r w:rsidRPr="00E457FB">
        <w:rPr>
          <w:rFonts w:cs="Times New Roman"/>
          <w:sz w:val="22"/>
          <w:szCs w:val="22"/>
        </w:rPr>
        <w:t xml:space="preserve"> constitutes a risk for transmission of blood-borne pathogens. </w:t>
      </w:r>
    </w:p>
    <w:p w:rsidR="00692396" w:rsidRPr="00E457FB" w:rsidRDefault="00692396" w:rsidP="0020630D">
      <w:pPr>
        <w:spacing w:line="276" w:lineRule="auto"/>
        <w:rPr>
          <w:rFonts w:cs="Times New Roman"/>
          <w:b/>
          <w:bCs/>
        </w:rPr>
      </w:pPr>
      <w:r w:rsidRPr="00E457FB">
        <w:rPr>
          <w:rFonts w:cs="Times New Roman"/>
          <w:b/>
          <w:bCs/>
        </w:rPr>
        <w:t>Aim:</w:t>
      </w:r>
    </w:p>
    <w:p w:rsidR="00692396" w:rsidRPr="00E457FB" w:rsidRDefault="00692396" w:rsidP="008B292E">
      <w:pPr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cs="Times New Roman"/>
          <w:sz w:val="22"/>
          <w:szCs w:val="22"/>
        </w:rPr>
        <w:t>To assess pattern and risk factors of sharp object injuries in two tertiary hospitals (</w:t>
      </w:r>
      <w:r w:rsidRPr="00E457FB">
        <w:rPr>
          <w:rFonts w:eastAsia="Times New Roman" w:cs="Times New Roman"/>
          <w:sz w:val="22"/>
          <w:szCs w:val="22"/>
        </w:rPr>
        <w:t xml:space="preserve">King Abdulaziz Specialist hospital and </w:t>
      </w:r>
      <w:r w:rsidR="008B292E">
        <w:rPr>
          <w:sz w:val="22"/>
          <w:szCs w:val="22"/>
        </w:rPr>
        <w:t>King Faisal Medical Complex</w:t>
      </w:r>
      <w:r w:rsidRPr="00E457FB">
        <w:rPr>
          <w:rFonts w:eastAsia="Times New Roman" w:cs="Times New Roman"/>
          <w:sz w:val="22"/>
          <w:szCs w:val="22"/>
        </w:rPr>
        <w:t xml:space="preserve"> Saudi Arabia –Taif .</w:t>
      </w:r>
    </w:p>
    <w:p w:rsidR="00692396" w:rsidRPr="00E457FB" w:rsidRDefault="00692396" w:rsidP="0020630D">
      <w:pPr>
        <w:spacing w:line="276" w:lineRule="auto"/>
        <w:rPr>
          <w:rFonts w:eastAsia="Times New Roman" w:cs="Times New Roman"/>
          <w:b/>
          <w:bCs/>
        </w:rPr>
      </w:pPr>
      <w:r w:rsidRPr="00E457FB">
        <w:rPr>
          <w:rFonts w:eastAsia="Times New Roman" w:cs="Times New Roman"/>
          <w:b/>
          <w:bCs/>
        </w:rPr>
        <w:t>Methods:</w:t>
      </w:r>
    </w:p>
    <w:p w:rsidR="00692396" w:rsidRPr="00E457FB" w:rsidRDefault="00692396" w:rsidP="0020630D">
      <w:pPr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 xml:space="preserve"> Retrospective review of </w:t>
      </w:r>
      <w:r w:rsidR="003C7AD3" w:rsidRPr="00E457FB">
        <w:rPr>
          <w:rFonts w:eastAsia="Times New Roman" w:cs="Times New Roman"/>
          <w:sz w:val="22"/>
          <w:szCs w:val="22"/>
        </w:rPr>
        <w:t>registry records from staff clinic</w:t>
      </w:r>
      <w:r w:rsidRPr="00E457FB">
        <w:rPr>
          <w:rFonts w:eastAsia="Times New Roman" w:cs="Times New Roman"/>
          <w:sz w:val="22"/>
          <w:szCs w:val="22"/>
        </w:rPr>
        <w:t xml:space="preserve"> was used to collect data including all employees exposed to sharp object injuries during 201</w:t>
      </w:r>
      <w:r w:rsidR="003C7AD3" w:rsidRPr="00E457FB">
        <w:rPr>
          <w:rFonts w:eastAsia="Times New Roman" w:cs="Times New Roman"/>
          <w:sz w:val="22"/>
          <w:szCs w:val="22"/>
        </w:rPr>
        <w:t>6 – 2017</w:t>
      </w:r>
      <w:r w:rsidRPr="00E457FB">
        <w:rPr>
          <w:rFonts w:eastAsia="Times New Roman" w:cs="Times New Roman"/>
          <w:sz w:val="22"/>
          <w:szCs w:val="22"/>
        </w:rPr>
        <w:t>.</w:t>
      </w:r>
    </w:p>
    <w:p w:rsidR="00692396" w:rsidRPr="00E457FB" w:rsidRDefault="00692396" w:rsidP="0020630D">
      <w:pPr>
        <w:spacing w:line="276" w:lineRule="auto"/>
        <w:rPr>
          <w:rFonts w:eastAsia="Times New Roman" w:cs="Times New Roman"/>
          <w:b/>
          <w:bCs/>
        </w:rPr>
      </w:pPr>
      <w:r w:rsidRPr="00E457FB">
        <w:rPr>
          <w:rFonts w:eastAsia="Times New Roman" w:cs="Times New Roman"/>
          <w:b/>
          <w:bCs/>
        </w:rPr>
        <w:t>Results: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 xml:space="preserve">A total of 131 employee were exposed to sharp object injuries during 2016 -2017 . The incidence </w:t>
      </w:r>
      <w:r w:rsidRPr="00E457FB">
        <w:rPr>
          <w:sz w:val="22"/>
          <w:szCs w:val="22"/>
        </w:rPr>
        <w:t xml:space="preserve">increased from 2.89 /10.000 patient days in 2016 to 3.422/ 10.000 patients days in  </w:t>
      </w:r>
      <w:r w:rsidR="003C7AD3" w:rsidRPr="00E457FB">
        <w:rPr>
          <w:sz w:val="22"/>
          <w:szCs w:val="22"/>
        </w:rPr>
        <w:t>2017</w:t>
      </w:r>
      <w:r w:rsidRPr="00E457FB">
        <w:rPr>
          <w:rFonts w:eastAsia="Times New Roman" w:cs="Times New Roman"/>
          <w:sz w:val="22"/>
          <w:szCs w:val="22"/>
        </w:rPr>
        <w:t>.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 xml:space="preserve">From total number 131 , Females </w:t>
      </w:r>
      <w:r w:rsidR="003C7AD3" w:rsidRPr="00E457FB">
        <w:rPr>
          <w:rFonts w:eastAsia="Times New Roman" w:cs="Times New Roman"/>
          <w:sz w:val="22"/>
          <w:szCs w:val="22"/>
        </w:rPr>
        <w:t xml:space="preserve">98(74.8%)  </w:t>
      </w:r>
      <w:r w:rsidRPr="00E457FB">
        <w:rPr>
          <w:rFonts w:eastAsia="Times New Roman" w:cs="Times New Roman"/>
          <w:sz w:val="22"/>
          <w:szCs w:val="22"/>
        </w:rPr>
        <w:t>were affected more than male</w:t>
      </w:r>
      <w:r w:rsidR="003C7AD3" w:rsidRPr="00E457FB">
        <w:rPr>
          <w:rFonts w:eastAsia="Times New Roman" w:cs="Times New Roman"/>
          <w:sz w:val="22"/>
          <w:szCs w:val="22"/>
        </w:rPr>
        <w:t xml:space="preserve"> 33 (25.2%)</w:t>
      </w:r>
      <w:r w:rsidRPr="00E457FB">
        <w:rPr>
          <w:rFonts w:eastAsia="Times New Roman" w:cs="Times New Roman"/>
          <w:sz w:val="22"/>
          <w:szCs w:val="22"/>
        </w:rPr>
        <w:t xml:space="preserve">. 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>Mean age was 31 ± 6.6 . Most affected employee were young (20-30years constitute 73 (55.7%) .</w:t>
      </w:r>
    </w:p>
    <w:p w:rsidR="003C7AD3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 xml:space="preserve">Most affected nationality were Filipino 42 (32.1%) </w:t>
      </w:r>
      <w:r w:rsidR="003C7AD3" w:rsidRPr="00E457FB">
        <w:rPr>
          <w:rFonts w:eastAsia="Times New Roman" w:cs="Times New Roman"/>
          <w:sz w:val="22"/>
          <w:szCs w:val="22"/>
        </w:rPr>
        <w:t>., Saudi 31 (23.7%)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 xml:space="preserve">Most injuries </w:t>
      </w:r>
      <w:r w:rsidR="00E85D9B" w:rsidRPr="00E457FB">
        <w:rPr>
          <w:rFonts w:eastAsia="Times New Roman" w:cs="Times New Roman"/>
          <w:sz w:val="22"/>
          <w:szCs w:val="22"/>
        </w:rPr>
        <w:t>occurred</w:t>
      </w:r>
      <w:r w:rsidRPr="00E457FB">
        <w:rPr>
          <w:rFonts w:eastAsia="Times New Roman" w:cs="Times New Roman"/>
          <w:sz w:val="22"/>
          <w:szCs w:val="22"/>
        </w:rPr>
        <w:t xml:space="preserve"> in Emergency room 26</w:t>
      </w:r>
      <w:r w:rsidR="00B07713">
        <w:rPr>
          <w:rFonts w:eastAsia="Times New Roman" w:cs="Times New Roman"/>
          <w:sz w:val="22"/>
          <w:szCs w:val="22"/>
        </w:rPr>
        <w:t xml:space="preserve"> </w:t>
      </w:r>
      <w:r w:rsidRPr="00E457FB">
        <w:rPr>
          <w:rFonts w:eastAsia="Times New Roman" w:cs="Times New Roman"/>
          <w:sz w:val="22"/>
          <w:szCs w:val="22"/>
        </w:rPr>
        <w:t>(19.8%) followed by Surgical word 20(15.3%) , OR 16(12.2%). Nurses were more affected 74(56.5%), doctor 23(17.6%) housekeeping 18 (13.7%).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B07713">
        <w:rPr>
          <w:rFonts w:eastAsia="Times New Roman" w:cs="Times New Roman"/>
          <w:sz w:val="22"/>
          <w:szCs w:val="22"/>
        </w:rPr>
        <w:t>According to type of exposure high exposure due to needle prick 104</w:t>
      </w:r>
      <w:r w:rsidR="00B07713" w:rsidRPr="00B07713">
        <w:rPr>
          <w:rFonts w:eastAsia="Times New Roman" w:cs="Times New Roman"/>
          <w:sz w:val="22"/>
          <w:szCs w:val="22"/>
        </w:rPr>
        <w:t xml:space="preserve"> </w:t>
      </w:r>
      <w:r w:rsidRPr="00B07713">
        <w:rPr>
          <w:rFonts w:eastAsia="Times New Roman" w:cs="Times New Roman"/>
          <w:sz w:val="22"/>
          <w:szCs w:val="22"/>
        </w:rPr>
        <w:t xml:space="preserve">(79.4%), cut wound 15(11.5%). </w:t>
      </w:r>
      <w:r w:rsidRPr="00E457FB">
        <w:rPr>
          <w:rFonts w:eastAsia="Times New Roman" w:cs="Times New Roman"/>
          <w:sz w:val="22"/>
          <w:szCs w:val="22"/>
        </w:rPr>
        <w:t xml:space="preserve">Most devices caused injuries were </w:t>
      </w:r>
      <w:r w:rsidR="00B07713">
        <w:rPr>
          <w:rFonts w:eastAsia="Times New Roman" w:cs="Times New Roman"/>
          <w:sz w:val="22"/>
          <w:szCs w:val="22"/>
        </w:rPr>
        <w:t>bore hollow</w:t>
      </w:r>
      <w:r w:rsidR="003C7AD3" w:rsidRPr="00E457FB">
        <w:rPr>
          <w:rFonts w:eastAsia="Times New Roman" w:cs="Times New Roman"/>
          <w:sz w:val="22"/>
          <w:szCs w:val="22"/>
        </w:rPr>
        <w:t xml:space="preserve"> </w:t>
      </w:r>
      <w:r w:rsidR="00CC3AD3" w:rsidRPr="00E457FB">
        <w:rPr>
          <w:rFonts w:eastAsia="Times New Roman" w:cs="Times New Roman"/>
          <w:sz w:val="22"/>
          <w:szCs w:val="22"/>
        </w:rPr>
        <w:t>needle</w:t>
      </w:r>
      <w:r w:rsidRPr="00E457FB">
        <w:rPr>
          <w:rFonts w:eastAsia="Times New Roman" w:cs="Times New Roman"/>
          <w:sz w:val="22"/>
          <w:szCs w:val="22"/>
        </w:rPr>
        <w:t xml:space="preserve"> 63(48.1%) , suture needle</w:t>
      </w:r>
      <w:r w:rsidR="00B07713">
        <w:rPr>
          <w:rFonts w:eastAsia="Times New Roman" w:cs="Times New Roman"/>
          <w:sz w:val="22"/>
          <w:szCs w:val="22"/>
        </w:rPr>
        <w:t xml:space="preserve"> 18</w:t>
      </w:r>
      <w:r w:rsidRPr="00E457FB">
        <w:rPr>
          <w:rFonts w:eastAsia="Times New Roman" w:cs="Times New Roman"/>
          <w:sz w:val="22"/>
          <w:szCs w:val="22"/>
        </w:rPr>
        <w:t xml:space="preserve"> </w:t>
      </w:r>
      <w:r w:rsidR="00B07713">
        <w:rPr>
          <w:rFonts w:eastAsia="Times New Roman" w:cs="Times New Roman"/>
          <w:sz w:val="22"/>
          <w:szCs w:val="22"/>
        </w:rPr>
        <w:t>(</w:t>
      </w:r>
      <w:r w:rsidRPr="00E457FB">
        <w:rPr>
          <w:rFonts w:eastAsia="Times New Roman" w:cs="Times New Roman"/>
          <w:sz w:val="22"/>
          <w:szCs w:val="22"/>
        </w:rPr>
        <w:t>13.7%),cannula and insulin syringe each 13 (9.9%).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>Regarding circumstances of injury , most during operation 23 (17.6%) , during waste collection 15 (11.5%) , cannulation 12 (9.2%)  and giving injection 12 (9.2%) .</w:t>
      </w:r>
    </w:p>
    <w:p w:rsidR="00632A60" w:rsidRPr="00E457FB" w:rsidRDefault="00692396" w:rsidP="00E457FB">
      <w:pPr>
        <w:tabs>
          <w:tab w:val="left" w:pos="6479"/>
        </w:tabs>
        <w:spacing w:line="276" w:lineRule="auto"/>
        <w:rPr>
          <w:rFonts w:eastAsia="Times New Roman" w:cs="Times New Roman"/>
          <w:sz w:val="22"/>
          <w:szCs w:val="22"/>
        </w:rPr>
      </w:pPr>
      <w:r w:rsidRPr="00E457FB">
        <w:rPr>
          <w:rFonts w:eastAsia="Times New Roman" w:cs="Times New Roman"/>
          <w:sz w:val="22"/>
          <w:szCs w:val="22"/>
        </w:rPr>
        <w:t xml:space="preserve">Exposure to HBV , </w:t>
      </w:r>
      <w:r w:rsidR="00B07713">
        <w:rPr>
          <w:rFonts w:eastAsia="Times New Roman" w:cs="Times New Roman"/>
          <w:sz w:val="22"/>
          <w:szCs w:val="22"/>
        </w:rPr>
        <w:t>HCV and HIV were 4(3.1</w:t>
      </w:r>
      <w:r w:rsidRPr="00E457FB">
        <w:rPr>
          <w:rFonts w:eastAsia="Times New Roman" w:cs="Times New Roman"/>
          <w:sz w:val="22"/>
          <w:szCs w:val="22"/>
        </w:rPr>
        <w:t>%) , 3(2.3%) and 3 (2.3%) respectively. No seroconversion among employee were documented.</w:t>
      </w:r>
    </w:p>
    <w:p w:rsidR="00692396" w:rsidRPr="00E457FB" w:rsidRDefault="00692396" w:rsidP="0020630D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E457FB">
        <w:rPr>
          <w:rFonts w:eastAsia="Times New Roman" w:cs="Times New Roman"/>
          <w:b/>
          <w:bCs/>
        </w:rPr>
        <w:t>Conclusion:</w:t>
      </w:r>
    </w:p>
    <w:p w:rsidR="00434AE7" w:rsidRPr="00E457FB" w:rsidRDefault="00434AE7" w:rsidP="00434AE7">
      <w:pPr>
        <w:spacing w:line="276" w:lineRule="auto"/>
      </w:pPr>
      <w:r w:rsidRPr="00E457FB">
        <w:t>There is increase in incidence of sharp needle injuries from 2016 to 2017.Female were more exposed than males . The younger and nurses were more affected . Emergency department was th</w:t>
      </w:r>
      <w:r w:rsidR="00193A3F">
        <w:t xml:space="preserve">e most affected area. Bore hollow </w:t>
      </w:r>
      <w:r w:rsidRPr="00E457FB">
        <w:t xml:space="preserve">needle was the most device causing sharp injuries. Sharp injuries during operation was the most circumstances during which exposures occurred followed by waste collection.   </w:t>
      </w:r>
    </w:p>
    <w:p w:rsidR="00E457FB" w:rsidRPr="0020630D" w:rsidRDefault="00E457FB" w:rsidP="0020630D">
      <w:pPr>
        <w:tabs>
          <w:tab w:val="left" w:pos="6479"/>
        </w:tabs>
        <w:spacing w:line="276" w:lineRule="auto"/>
        <w:rPr>
          <w:rFonts w:eastAsia="Times New Roman" w:cs="Times New Roman"/>
        </w:rPr>
      </w:pPr>
    </w:p>
    <w:p w:rsidR="0020630D" w:rsidRDefault="0020630D" w:rsidP="0020630D">
      <w:pPr>
        <w:spacing w:line="276" w:lineRule="auto"/>
        <w:rPr>
          <w:rFonts w:cs="Times New Roman"/>
          <w:b/>
          <w:bCs/>
          <w:sz w:val="26"/>
          <w:szCs w:val="26"/>
        </w:rPr>
      </w:pPr>
      <w:r w:rsidRPr="002E3A1E">
        <w:rPr>
          <w:rFonts w:cs="Times New Roman"/>
          <w:b/>
          <w:bCs/>
          <w:sz w:val="26"/>
          <w:szCs w:val="26"/>
        </w:rPr>
        <w:lastRenderedPageBreak/>
        <w:t>Background:</w:t>
      </w:r>
    </w:p>
    <w:p w:rsidR="001974E2" w:rsidRDefault="00434AE7" w:rsidP="007B6572">
      <w:pPr>
        <w:spacing w:line="276" w:lineRule="auto"/>
        <w:rPr>
          <w:rFonts w:ascii="Times" w:hAnsi="Times"/>
          <w:color w:val="000000"/>
          <w:sz w:val="26"/>
          <w:szCs w:val="26"/>
          <w:shd w:val="clear" w:color="auto" w:fill="FFFFFF"/>
        </w:rPr>
      </w:pPr>
      <w:r>
        <w:rPr>
          <w:rFonts w:asciiTheme="majorBidi" w:hAnsiTheme="majorBidi" w:cstheme="majorBidi"/>
        </w:rPr>
        <w:t>E</w:t>
      </w:r>
      <w:r>
        <w:rPr>
          <w:rFonts w:ascii="Times" w:hAnsi="Times"/>
          <w:color w:val="000000"/>
          <w:sz w:val="26"/>
          <w:szCs w:val="26"/>
          <w:shd w:val="clear" w:color="auto" w:fill="FFFFFF"/>
        </w:rPr>
        <w:t xml:space="preserve">very year, hundreds of thousands of health care workers are exposed to dangerous and deadly blood borne pathogens through contaminated needle stick and sharps injuries (NSIs) </w:t>
      </w:r>
      <w:r w:rsidR="000777FC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begin"/>
      </w:r>
      <w:r w:rsidR="000777FC">
        <w:rPr>
          <w:rFonts w:ascii="Times" w:hAnsi="Times"/>
          <w:color w:val="000000"/>
          <w:sz w:val="26"/>
          <w:szCs w:val="26"/>
          <w:shd w:val="clear" w:color="auto" w:fill="FFFFFF"/>
        </w:rPr>
        <w:instrText xml:space="preserve"> ADDIN EN.CITE &lt;EndNote&gt;&lt;Cite&gt;&lt;Author&gt;Lubenow&lt;/Author&gt;&lt;Year&gt;2012&lt;/Year&gt;&lt;RecNum&gt;1&lt;/RecNum&gt;&lt;DisplayText&gt;[1]&lt;/DisplayText&gt;&lt;record&gt;&lt;rec-number&gt;1&lt;/rec-number&gt;&lt;foreign-keys&gt;&lt;key app="EN" db-id="vr9eerapxrtaase2de7xftrxvsvep0eaw5aw" timestamp="1519732307"&gt;1&lt;/key&gt;&lt;/foreign-keys&gt;&lt;ref-type name="Journal Article"&gt;17&lt;/ref-type&gt;&lt;contributors&gt;&lt;authors&gt;&lt;author&gt;Lubenow, Juliana Almeida Marques&lt;/author&gt;&lt;author&gt;Moura, Maria Eliete Batista&lt;/author&gt;&lt;author&gt;Nunes, Benevina Maria Vilar Teixeira&lt;/author&gt;&lt;author&gt;Figueiredo, Maria do Livramento Fortes&lt;/author&gt;&lt;author&gt;Sales, Luís Carlos&lt;/author&gt;&lt;/authors&gt;&lt;/contributors&gt;&lt;titles&gt;&lt;title&gt;Social representations of needlestick injuries&lt;/title&gt;&lt;secondary-title&gt;Revista Latino-Americana de Enfermagem&lt;/secondary-title&gt;&lt;/titles&gt;&lt;periodical&gt;&lt;full-title&gt;Revista Latino-Americana de Enfermagem&lt;/full-title&gt;&lt;/periodical&gt;&lt;pages&gt;1176-1185&lt;/pages&gt;&lt;volume&gt;20&lt;/volume&gt;&lt;number&gt;6&lt;/number&gt;&lt;dates&gt;&lt;year&gt;2012&lt;/year&gt;&lt;/dates&gt;&lt;isbn&gt;0104-1169&lt;/isbn&gt;&lt;urls&gt;&lt;/urls&gt;&lt;/record&gt;&lt;/Cite&gt;&lt;/EndNote&gt;</w:instrText>
      </w:r>
      <w:r w:rsidR="000777FC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separate"/>
      </w:r>
      <w:r w:rsidR="000777FC">
        <w:rPr>
          <w:rFonts w:ascii="Times" w:hAnsi="Times"/>
          <w:noProof/>
          <w:color w:val="000000"/>
          <w:sz w:val="26"/>
          <w:szCs w:val="26"/>
          <w:shd w:val="clear" w:color="auto" w:fill="FFFFFF"/>
        </w:rPr>
        <w:t>[1]</w:t>
      </w:r>
      <w:r w:rsidR="000777FC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end"/>
      </w:r>
      <w:r w:rsidR="000777FC">
        <w:rPr>
          <w:rFonts w:ascii="Times" w:hAnsi="Times"/>
          <w:color w:val="000000"/>
          <w:sz w:val="26"/>
          <w:szCs w:val="26"/>
          <w:shd w:val="clear" w:color="auto" w:fill="FFFFFF"/>
        </w:rPr>
        <w:t>.</w:t>
      </w:r>
      <w:r w:rsidR="000777FC">
        <w:rPr>
          <w:rFonts w:asciiTheme="majorBidi" w:hAnsiTheme="majorBidi" w:cstheme="majorBidi"/>
        </w:rPr>
        <w:t xml:space="preserve"> </w:t>
      </w:r>
      <w:r w:rsidR="00AE482F">
        <w:rPr>
          <w:rFonts w:asciiTheme="majorBidi" w:hAnsiTheme="majorBidi" w:cstheme="majorBidi"/>
        </w:rPr>
        <w:t>A</w:t>
      </w:r>
      <w:r w:rsidRPr="00C62EE5">
        <w:rPr>
          <w:rFonts w:asciiTheme="majorBidi" w:hAnsiTheme="majorBidi" w:cstheme="majorBidi"/>
        </w:rPr>
        <w:t xml:space="preserve"> risk for transm</w:t>
      </w:r>
      <w:r w:rsidR="00AE482F">
        <w:rPr>
          <w:rFonts w:asciiTheme="majorBidi" w:hAnsiTheme="majorBidi" w:cstheme="majorBidi"/>
        </w:rPr>
        <w:t xml:space="preserve">ission of blood-borne pathogens </w:t>
      </w:r>
      <w:r w:rsidR="001974E2">
        <w:rPr>
          <w:rFonts w:asciiTheme="majorBidi" w:hAnsiTheme="majorBidi" w:cstheme="majorBidi"/>
        </w:rPr>
        <w:t>is different according to type of pathogens , s</w:t>
      </w:r>
      <w:r w:rsidRPr="00C62EE5">
        <w:rPr>
          <w:rFonts w:asciiTheme="majorBidi" w:hAnsiTheme="majorBidi" w:cstheme="majorBidi"/>
        </w:rPr>
        <w:t>uch pathogens include Human Immunodeficiency Virus (HIV), Hepatitis B virus (HBV) and Hepatitis C virus</w:t>
      </w:r>
      <w:r w:rsidR="007658EA">
        <w:rPr>
          <w:rFonts w:asciiTheme="majorBidi" w:hAnsiTheme="majorBidi" w:cstheme="majorBidi"/>
        </w:rPr>
        <w:fldChar w:fldCharType="begin"/>
      </w:r>
      <w:r w:rsidR="007658EA">
        <w:rPr>
          <w:rFonts w:asciiTheme="majorBidi" w:hAnsiTheme="majorBidi" w:cstheme="majorBidi"/>
        </w:rPr>
        <w:instrText xml:space="preserve"> ADDIN EN.CITE &lt;EndNote&gt;&lt;Cite&gt;&lt;Author&gt;Mbaisi&lt;/Author&gt;&lt;Year&gt;2013&lt;/Year&gt;&lt;RecNum&gt;2&lt;/RecNum&gt;&lt;DisplayText&gt;[2]&lt;/DisplayText&gt;&lt;record&gt;&lt;rec-number&gt;2&lt;/rec-number&gt;&lt;foreign-keys&gt;&lt;key app="EN" db-id="vr9eerapxrtaase2de7xftrxvsvep0eaw5aw" timestamp="1519734808"&gt;2&lt;/key&gt;&lt;/foreign-keys&gt;&lt;ref-type name="Journal Article"&gt;17&lt;/ref-type&gt;&lt;contributors&gt;&lt;authors&gt;&lt;author&gt;Mbaisi, Everline Muhonja&lt;/author&gt;&lt;author&gt;Wanzala, Peter&lt;/author&gt;&lt;author&gt;Omolo, Jared&lt;/author&gt;&lt;/authors&gt;&lt;/contributors&gt;&lt;titles&gt;&lt;title&gt;Prevalence and factors associated with percutaneous injuries and splash exposures among health-care workers in a provincial hospital, Kenya, 2010&lt;/title&gt;&lt;secondary-title&gt;Pan African Medical Journal&lt;/secondary-title&gt;&lt;/titles&gt;&lt;periodical&gt;&lt;full-title&gt;Pan African Medical Journal&lt;/full-title&gt;&lt;/periodical&gt;&lt;volume&gt;14&lt;/volume&gt;&lt;number&gt;1&lt;/number&gt;&lt;dates&gt;&lt;year&gt;2013&lt;/year&gt;&lt;/dates&gt;&lt;isbn&gt;1937-8688&lt;/isbn&gt;&lt;urls&gt;&lt;/urls&gt;&lt;/record&gt;&lt;/Cite&gt;&lt;/EndNote&gt;</w:instrText>
      </w:r>
      <w:r w:rsidR="007658EA">
        <w:rPr>
          <w:rFonts w:asciiTheme="majorBidi" w:hAnsiTheme="majorBidi" w:cstheme="majorBidi"/>
        </w:rPr>
        <w:fldChar w:fldCharType="separate"/>
      </w:r>
      <w:r w:rsidR="007658EA">
        <w:rPr>
          <w:rFonts w:asciiTheme="majorBidi" w:hAnsiTheme="majorBidi" w:cstheme="majorBidi"/>
          <w:noProof/>
        </w:rPr>
        <w:t>[2]</w:t>
      </w:r>
      <w:r w:rsidR="007658EA">
        <w:rPr>
          <w:rFonts w:asciiTheme="majorBidi" w:hAnsiTheme="majorBidi" w:cstheme="majorBidi"/>
        </w:rPr>
        <w:fldChar w:fldCharType="end"/>
      </w:r>
      <w:r w:rsidRPr="00C62EE5">
        <w:rPr>
          <w:rFonts w:asciiTheme="majorBidi" w:hAnsiTheme="majorBidi" w:cstheme="majorBidi"/>
        </w:rPr>
        <w:t xml:space="preserve"> </w:t>
      </w:r>
      <w:r w:rsidR="001974E2">
        <w:rPr>
          <w:rFonts w:asciiTheme="majorBidi" w:hAnsiTheme="majorBidi" w:cstheme="majorBidi"/>
          <w:color w:val="000000"/>
          <w:shd w:val="clear" w:color="auto" w:fill="FFFFFF"/>
        </w:rPr>
        <w:t>T</w:t>
      </w:r>
      <w:r w:rsidRPr="00C62EE5">
        <w:rPr>
          <w:rFonts w:asciiTheme="majorBidi" w:hAnsiTheme="majorBidi" w:cstheme="majorBidi"/>
          <w:color w:val="000000"/>
          <w:shd w:val="clear" w:color="auto" w:fill="FFFFFF"/>
        </w:rPr>
        <w:t xml:space="preserve">he  estimated risk of HIV infection from a sharps injury is about 0.3 percent </w:t>
      </w:r>
      <w:r w:rsidRPr="00C62EE5">
        <w:rPr>
          <w:rFonts w:asciiTheme="majorBidi" w:hAnsiTheme="majorBidi" w:cstheme="majorBidi"/>
        </w:rPr>
        <w:t>.The risk of Hepatitis C transmission is approximately 1.8% (range 0%-7%).If the source patient is Hepatitis B surface an</w:t>
      </w:r>
      <w:r w:rsidR="001974E2">
        <w:rPr>
          <w:rFonts w:asciiTheme="majorBidi" w:hAnsiTheme="majorBidi" w:cstheme="majorBidi"/>
        </w:rPr>
        <w:t>tigen positive and</w:t>
      </w:r>
      <w:r>
        <w:rPr>
          <w:rFonts w:asciiTheme="majorBidi" w:hAnsiTheme="majorBidi" w:cstheme="majorBidi"/>
        </w:rPr>
        <w:t xml:space="preserve"> Hepatitis B</w:t>
      </w:r>
      <w:r w:rsidR="007913EC">
        <w:rPr>
          <w:rFonts w:asciiTheme="majorBidi" w:hAnsiTheme="majorBidi" w:cstheme="majorBidi"/>
        </w:rPr>
        <w:t xml:space="preserve"> </w:t>
      </w:r>
      <w:r w:rsidRPr="00C62EE5">
        <w:rPr>
          <w:rFonts w:asciiTheme="majorBidi" w:hAnsiTheme="majorBidi" w:cstheme="majorBidi"/>
        </w:rPr>
        <w:t>antigen positive, the risk of Hepatitis B transmi</w:t>
      </w:r>
      <w:r>
        <w:rPr>
          <w:rFonts w:asciiTheme="majorBidi" w:hAnsiTheme="majorBidi" w:cstheme="majorBidi"/>
        </w:rPr>
        <w:t>ssion is approximately 37%-62%</w:t>
      </w:r>
      <w:r w:rsidR="00317ACB">
        <w:rPr>
          <w:rFonts w:asciiTheme="majorBidi" w:hAnsiTheme="majorBidi" w:cstheme="majorBidi"/>
        </w:rPr>
        <w:fldChar w:fldCharType="begin"/>
      </w:r>
      <w:r w:rsidR="00317ACB">
        <w:rPr>
          <w:rFonts w:asciiTheme="majorBidi" w:hAnsiTheme="majorBidi" w:cstheme="majorBidi"/>
        </w:rPr>
        <w:instrText xml:space="preserve"> ADDIN EN.CITE &lt;EndNote&gt;&lt;Cite&gt;&lt;Author&gt;Dolan&lt;/Author&gt;&lt;Year&gt;2010&lt;/Year&gt;&lt;RecNum&gt;3&lt;/RecNum&gt;&lt;DisplayText&gt;[3]&lt;/DisplayText&gt;&lt;record&gt;&lt;rec-number&gt;3&lt;/rec-number&gt;&lt;foreign-keys&gt;&lt;key app="EN" db-id="vr9eerapxrtaase2de7xftrxvsvep0eaw5aw" timestamp="1519735067"&gt;3&lt;/key&gt;&lt;/foreign-keys&gt;&lt;ref-type name="Journal Article"&gt;17&lt;/ref-type&gt;&lt;contributors&gt;&lt;authors&gt;&lt;author&gt;Dolan, Susan A&lt;/author&gt;&lt;author&gt;Felizardo, Gwenda&lt;/author&gt;&lt;author&gt;Barnes, Sue&lt;/author&gt;&lt;author&gt;Cox, Tracy R&lt;/author&gt;&lt;author&gt;Patrick, Marcia&lt;/author&gt;&lt;author&gt;Ward, Katherine S&lt;/author&gt;&lt;author&gt;Arias, Kathleen Meehan&lt;/author&gt;&lt;/authors&gt;&lt;/contributors&gt;&lt;titles&gt;&lt;title&gt;APIC position paper: safe injection, infusion, and medication vial practices in health care&lt;/title&gt;&lt;secondary-title&gt;American journal of infection control&lt;/secondary-title&gt;&lt;/titles&gt;&lt;periodical&gt;&lt;full-title&gt;American journal of infection control&lt;/full-title&gt;&lt;/periodical&gt;&lt;pages&gt;167-172&lt;/pages&gt;&lt;volume&gt;38&lt;/volume&gt;&lt;number&gt;3&lt;/number&gt;&lt;dates&gt;&lt;year&gt;2010&lt;/year&gt;&lt;/dates&gt;&lt;isbn&gt;0196-6553&lt;/isbn&gt;&lt;urls&gt;&lt;/urls&gt;&lt;/record&gt;&lt;/Cite&gt;&lt;/EndNote&gt;</w:instrText>
      </w:r>
      <w:r w:rsidR="00317ACB">
        <w:rPr>
          <w:rFonts w:asciiTheme="majorBidi" w:hAnsiTheme="majorBidi" w:cstheme="majorBidi"/>
        </w:rPr>
        <w:fldChar w:fldCharType="separate"/>
      </w:r>
      <w:r w:rsidR="00317ACB">
        <w:rPr>
          <w:rFonts w:asciiTheme="majorBidi" w:hAnsiTheme="majorBidi" w:cstheme="majorBidi"/>
          <w:noProof/>
        </w:rPr>
        <w:t>[3]</w:t>
      </w:r>
      <w:r w:rsidR="00317ACB">
        <w:rPr>
          <w:rFonts w:asciiTheme="majorBidi" w:hAnsiTheme="majorBidi" w:cstheme="majorBidi"/>
        </w:rPr>
        <w:fldChar w:fldCharType="end"/>
      </w:r>
      <w:r w:rsidR="00317AC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.</w:t>
      </w:r>
      <w:r>
        <w:rPr>
          <w:rFonts w:ascii="Times" w:hAnsi="Times"/>
          <w:color w:val="000000"/>
          <w:sz w:val="26"/>
          <w:szCs w:val="26"/>
          <w:shd w:val="clear" w:color="auto" w:fill="FFFFFF"/>
        </w:rPr>
        <w:t>NSIs are frequent and important cause of morbidity and mortality in health care workers who come into contact with patient blood and body fluids</w:t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begin"/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instrText xml:space="preserve"> ADDIN EN.CITE &lt;EndNote&gt;&lt;Cite&gt;&lt;Author&gt;Parantainen&lt;/Author&gt;&lt;Year&gt;2011&lt;/Year&gt;&lt;RecNum&gt;4&lt;/RecNum&gt;&lt;DisplayText&gt;[4]&lt;/DisplayText&gt;&lt;record&gt;&lt;rec-number&gt;4&lt;/rec-number&gt;&lt;foreign-keys&gt;&lt;key app="EN" db-id="vr9eerapxrtaase2de7xftrxvsvep0eaw5aw" timestamp="1519735198"&gt;4&lt;/key&gt;&lt;/foreign-keys&gt;&lt;ref-type name="Journal Article"&gt;17&lt;/ref-type&gt;&lt;contributors&gt;&lt;authors&gt;&lt;author&gt;Parantainen, Annika&lt;/author&gt;&lt;author&gt;Verbeek, Jos H&lt;/author&gt;&lt;author&gt;Lavoie, Marie-Claude&lt;/author&gt;&lt;author&gt;Pahwa, Manisha&lt;/author&gt;&lt;/authors&gt;&lt;/contributors&gt;&lt;titles&gt;&lt;title&gt;Blunt versus sharp suture needles for preventing percutaneous exposure incidents in surgical staff&lt;/title&gt;&lt;secondary-title&gt;Cochrane Database Syst Rev&lt;/secondary-title&gt;&lt;/titles&gt;&lt;periodical&gt;&lt;full-title&gt;Cochrane Database Syst Rev&lt;/full-title&gt;&lt;/periodical&gt;&lt;volume&gt;11&lt;/volume&gt;&lt;number&gt;11&lt;/number&gt;&lt;dates&gt;&lt;year&gt;2011&lt;/year&gt;&lt;/dates&gt;&lt;urls&gt;&lt;/urls&gt;&lt;/record&gt;&lt;/Cite&gt;&lt;/EndNote&gt;</w:instrText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separate"/>
      </w:r>
      <w:r w:rsidR="007B6572">
        <w:rPr>
          <w:rFonts w:ascii="Times" w:hAnsi="Times"/>
          <w:noProof/>
          <w:color w:val="000000"/>
          <w:sz w:val="26"/>
          <w:szCs w:val="26"/>
          <w:shd w:val="clear" w:color="auto" w:fill="FFFFFF"/>
        </w:rPr>
        <w:t>[4]</w:t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end"/>
      </w:r>
      <w:r w:rsidR="001974E2">
        <w:rPr>
          <w:rFonts w:ascii="Times" w:hAnsi="Times"/>
          <w:color w:val="000000"/>
          <w:sz w:val="26"/>
          <w:szCs w:val="26"/>
          <w:shd w:val="clear" w:color="auto" w:fill="FFFFFF"/>
        </w:rPr>
        <w:t>.</w:t>
      </w:r>
    </w:p>
    <w:p w:rsidR="00434AE7" w:rsidRPr="001974E2" w:rsidRDefault="00434AE7" w:rsidP="007B6572">
      <w:pPr>
        <w:spacing w:line="276" w:lineRule="auto"/>
        <w:rPr>
          <w:rFonts w:asciiTheme="majorBidi" w:hAnsiTheme="majorBidi" w:cstheme="majorBidi"/>
        </w:rPr>
      </w:pPr>
      <w:r>
        <w:rPr>
          <w:rFonts w:ascii="Times" w:hAnsi="Times"/>
          <w:color w:val="000000"/>
          <w:sz w:val="26"/>
          <w:szCs w:val="26"/>
          <w:shd w:val="clear" w:color="auto" w:fill="FFFFFF"/>
        </w:rPr>
        <w:t>Therefore, assessing the magnitude and factors associated with needle stick and sharp injury among health care workers is very important</w:t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begin"/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instrText xml:space="preserve"> ADDIN EN.CITE &lt;EndNote&gt;&lt;Cite&gt;&lt;Author&gt;Dilie&lt;/Author&gt;&lt;Year&gt;2017&lt;/Year&gt;&lt;RecNum&gt;5&lt;/RecNum&gt;&lt;DisplayText&gt;[5]&lt;/DisplayText&gt;&lt;record&gt;&lt;rec-number&gt;5&lt;/rec-number&gt;&lt;foreign-keys&gt;&lt;key app="EN" db-id="vr9eerapxrtaase2de7xftrxvsvep0eaw5aw" timestamp="1519735331"&gt;5&lt;/key&gt;&lt;/foreign-keys&gt;&lt;ref-type name="Journal Article"&gt;17&lt;/ref-type&gt;&lt;contributors&gt;&lt;authors&gt;&lt;author&gt;Dilie, Abebe&lt;/author&gt;&lt;author&gt;Amare, Desalegn&lt;/author&gt;&lt;author&gt;Gualu, Tenaw&lt;/author&gt;&lt;/authors&gt;&lt;/contributors&gt;&lt;titles&gt;&lt;title&gt;Occupational Exposure to Needle Stick and Sharp Injuries and Associated Factors among Health Care Workers in Awi Zone, Amhara Regional State, Northwest Ethiopia, 2016&lt;/title&gt;&lt;secondary-title&gt;Journal of environmental and public health&lt;/secondary-title&gt;&lt;/titles&gt;&lt;periodical&gt;&lt;full-title&gt;Journal of environmental and public health&lt;/full-title&gt;&lt;/periodical&gt;&lt;volume&gt;2017&lt;/volume&gt;&lt;dates&gt;&lt;year&gt;2017&lt;/year&gt;&lt;/dates&gt;&lt;isbn&gt;1687-9805&lt;/isbn&gt;&lt;urls&gt;&lt;/urls&gt;&lt;/record&gt;&lt;/Cite&gt;&lt;/EndNote&gt;</w:instrText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separate"/>
      </w:r>
      <w:r w:rsidR="007B6572">
        <w:rPr>
          <w:rFonts w:ascii="Times" w:hAnsi="Times"/>
          <w:noProof/>
          <w:color w:val="000000"/>
          <w:sz w:val="26"/>
          <w:szCs w:val="26"/>
          <w:shd w:val="clear" w:color="auto" w:fill="FFFFFF"/>
        </w:rPr>
        <w:t>[5]</w:t>
      </w:r>
      <w:r w:rsidR="007B6572">
        <w:rPr>
          <w:rFonts w:ascii="Times" w:hAnsi="Times"/>
          <w:color w:val="000000"/>
          <w:sz w:val="26"/>
          <w:szCs w:val="26"/>
          <w:shd w:val="clear" w:color="auto" w:fill="FFFFFF"/>
        </w:rPr>
        <w:fldChar w:fldCharType="end"/>
      </w:r>
      <w:r>
        <w:rPr>
          <w:rFonts w:ascii="Times" w:hAnsi="Times"/>
          <w:color w:val="000000"/>
          <w:sz w:val="26"/>
          <w:szCs w:val="26"/>
          <w:shd w:val="clear" w:color="auto" w:fill="FFFFFF"/>
        </w:rPr>
        <w:t>.</w:t>
      </w:r>
    </w:p>
    <w:p w:rsidR="0020630D" w:rsidRPr="002E3A1E" w:rsidRDefault="0020630D" w:rsidP="00632A60">
      <w:pPr>
        <w:spacing w:line="276" w:lineRule="auto"/>
        <w:rPr>
          <w:rFonts w:cs="Times New Roman"/>
          <w:b/>
          <w:bCs/>
          <w:sz w:val="26"/>
          <w:szCs w:val="26"/>
        </w:rPr>
      </w:pPr>
      <w:r w:rsidRPr="002E3A1E">
        <w:rPr>
          <w:rFonts w:cs="Times New Roman"/>
          <w:b/>
          <w:bCs/>
          <w:sz w:val="26"/>
          <w:szCs w:val="26"/>
        </w:rPr>
        <w:t>Aim:</w:t>
      </w:r>
    </w:p>
    <w:p w:rsidR="0020630D" w:rsidRDefault="0020630D" w:rsidP="00632A60">
      <w:pPr>
        <w:spacing w:line="276" w:lineRule="auto"/>
        <w:rPr>
          <w:rFonts w:eastAsia="Times New Roman" w:cs="Times New Roman"/>
        </w:rPr>
      </w:pPr>
      <w:r>
        <w:rPr>
          <w:rFonts w:cs="Times New Roman"/>
        </w:rPr>
        <w:t xml:space="preserve">To assess pattern </w:t>
      </w:r>
      <w:r w:rsidRPr="00A3652F">
        <w:rPr>
          <w:rFonts w:cs="Times New Roman"/>
        </w:rPr>
        <w:t>and risk factors of sharp object injuries in two tertiary hospitals (</w:t>
      </w:r>
      <w:r w:rsidRPr="00A3652F">
        <w:rPr>
          <w:rFonts w:eastAsia="Times New Roman" w:cs="Times New Roman"/>
        </w:rPr>
        <w:t xml:space="preserve">King Abdulaziz Specialist hospital and King Faisal </w:t>
      </w:r>
      <w:r w:rsidR="007913EC">
        <w:rPr>
          <w:rFonts w:eastAsia="Times New Roman" w:cs="Times New Roman"/>
        </w:rPr>
        <w:t>Medical Complex</w:t>
      </w:r>
      <w:r w:rsidRPr="00A3652F">
        <w:rPr>
          <w:rFonts w:eastAsia="Times New Roman" w:cs="Times New Roman"/>
        </w:rPr>
        <w:t xml:space="preserve">) </w:t>
      </w:r>
      <w:r>
        <w:rPr>
          <w:rFonts w:eastAsia="Times New Roman" w:cs="Times New Roman"/>
        </w:rPr>
        <w:t>Saudi Arabia –Taif .</w:t>
      </w:r>
    </w:p>
    <w:p w:rsidR="0020630D" w:rsidRPr="002E3A1E" w:rsidRDefault="0020630D" w:rsidP="00632A60">
      <w:pPr>
        <w:spacing w:line="276" w:lineRule="auto"/>
        <w:rPr>
          <w:rFonts w:eastAsia="Times New Roman" w:cs="Times New Roman"/>
          <w:b/>
          <w:bCs/>
          <w:sz w:val="26"/>
          <w:szCs w:val="26"/>
        </w:rPr>
      </w:pPr>
      <w:r w:rsidRPr="002E3A1E">
        <w:rPr>
          <w:rFonts w:eastAsia="Times New Roman" w:cs="Times New Roman"/>
          <w:b/>
          <w:bCs/>
          <w:sz w:val="26"/>
          <w:szCs w:val="26"/>
        </w:rPr>
        <w:t>Methods:</w:t>
      </w:r>
    </w:p>
    <w:p w:rsidR="0020630D" w:rsidRDefault="0020630D" w:rsidP="00632A60">
      <w:pPr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 xml:space="preserve"> Retrospe</w:t>
      </w:r>
      <w:r>
        <w:rPr>
          <w:rFonts w:eastAsia="Times New Roman" w:cs="Times New Roman"/>
        </w:rPr>
        <w:t xml:space="preserve">ctive review of </w:t>
      </w:r>
      <w:r w:rsidRPr="00CC3AD3">
        <w:rPr>
          <w:rFonts w:eastAsia="Times New Roman" w:cs="Times New Roman"/>
        </w:rPr>
        <w:t>registry records from staff clinic</w:t>
      </w:r>
      <w:r w:rsidRPr="00B873FA">
        <w:rPr>
          <w:rFonts w:eastAsia="Times New Roman" w:cs="Times New Roman"/>
        </w:rPr>
        <w:t xml:space="preserve"> was used to collect data incl</w:t>
      </w:r>
      <w:r>
        <w:rPr>
          <w:rFonts w:eastAsia="Times New Roman" w:cs="Times New Roman"/>
        </w:rPr>
        <w:t>u</w:t>
      </w:r>
      <w:r w:rsidRPr="00B873FA">
        <w:rPr>
          <w:rFonts w:eastAsia="Times New Roman" w:cs="Times New Roman"/>
        </w:rPr>
        <w:t>ding all employees exposed to sharp object injuries during 201</w:t>
      </w:r>
      <w:r>
        <w:rPr>
          <w:rFonts w:eastAsia="Times New Roman" w:cs="Times New Roman"/>
        </w:rPr>
        <w:t>6 – 2017</w:t>
      </w:r>
      <w:r w:rsidRPr="00B873FA">
        <w:rPr>
          <w:rFonts w:eastAsia="Times New Roman" w:cs="Times New Roman"/>
        </w:rPr>
        <w:t>.</w:t>
      </w:r>
    </w:p>
    <w:p w:rsidR="00632A60" w:rsidRPr="00632A60" w:rsidRDefault="00632A60" w:rsidP="00632A60">
      <w:pPr>
        <w:tabs>
          <w:tab w:val="left" w:pos="6479"/>
        </w:tabs>
        <w:spacing w:line="276" w:lineRule="auto"/>
        <w:rPr>
          <w:rFonts w:eastAsia="Times New Roman" w:cs="Times New Roman"/>
          <w:b/>
          <w:bCs/>
          <w:sz w:val="28"/>
          <w:szCs w:val="28"/>
        </w:rPr>
      </w:pPr>
      <w:r w:rsidRPr="00632A60">
        <w:rPr>
          <w:rFonts w:eastAsia="Times New Roman" w:cs="Times New Roman"/>
          <w:b/>
          <w:bCs/>
          <w:sz w:val="28"/>
          <w:szCs w:val="28"/>
        </w:rPr>
        <w:t>Results</w:t>
      </w:r>
    </w:p>
    <w:p w:rsidR="0020630D" w:rsidRPr="00B873FA" w:rsidRDefault="0020630D" w:rsidP="00632A60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 xml:space="preserve">Atotal of 131 employee were exposed to sharp object injuries during 2016 -2017 . </w:t>
      </w:r>
      <w:r>
        <w:rPr>
          <w:rFonts w:eastAsia="Times New Roman" w:cs="Times New Roman"/>
        </w:rPr>
        <w:t xml:space="preserve">The incidence </w:t>
      </w:r>
      <w:r>
        <w:t>increased from 2.89 /10.000 patient days in 2016 to 3.422/ 10.000 patients days in  2017.</w:t>
      </w:r>
      <w:r w:rsidRPr="00B873FA">
        <w:rPr>
          <w:rFonts w:eastAsia="Times New Roman" w:cs="Times New Roman"/>
        </w:rPr>
        <w:t>The number increasing in 2017 compare to 2016 , 63 (48.1%) and 68 (51.9%) during 2016 and 2017 respectively.</w:t>
      </w:r>
    </w:p>
    <w:p w:rsidR="0020630D" w:rsidRPr="00B873FA" w:rsidRDefault="0020630D" w:rsidP="00632A60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>From total number 131 , Females were affected more than male. Females 98(74.8%)  and males 33 (25.2%).</w:t>
      </w:r>
    </w:p>
    <w:p w:rsidR="0020630D" w:rsidRPr="00B873FA" w:rsidRDefault="0020630D" w:rsidP="00632A60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>Mean age was 31 ± 6.6 . Most affected employee were young (20-30years constitute 73 (55.7%) .other age group 31-40 years , 41-50years and more than 50years constitute 37(28.2%) , 6 (4.6%) and 3 (2.3%) respectively.</w:t>
      </w:r>
    </w:p>
    <w:p w:rsidR="0020630D" w:rsidRPr="00B873FA" w:rsidRDefault="0020630D" w:rsidP="00E85D9B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>Most affected nationality were Filipino 42 (32.1%) , Saudi 31 (23.7%) and Indian 26</w:t>
      </w:r>
      <w:r w:rsidR="00E85D9B">
        <w:rPr>
          <w:rFonts w:eastAsia="Times New Roman" w:cs="Times New Roman"/>
        </w:rPr>
        <w:t xml:space="preserve"> </w:t>
      </w:r>
      <w:r w:rsidRPr="00B873FA">
        <w:rPr>
          <w:rFonts w:eastAsia="Times New Roman" w:cs="Times New Roman"/>
        </w:rPr>
        <w:t>(19.8%) .These three nationalities constitute 99  (75.6%) . other 32 (</w:t>
      </w:r>
      <w:r w:rsidR="00E85D9B">
        <w:rPr>
          <w:rFonts w:eastAsia="Times New Roman" w:cs="Times New Roman"/>
        </w:rPr>
        <w:t>24.4</w:t>
      </w:r>
      <w:r w:rsidRPr="00B873FA">
        <w:rPr>
          <w:rFonts w:eastAsia="Times New Roman" w:cs="Times New Roman"/>
        </w:rPr>
        <w:t>%) were distributed among other nationalities. Most injuries occur in Emergency room 26(19.8%) followed by Surgical word 20(15.3%) , OR 16(12.2%). Nurses were more affected 74(56.5%), doctor 23(17.6%) housekeeping 18 (13.7%).</w:t>
      </w:r>
    </w:p>
    <w:p w:rsidR="0020630D" w:rsidRPr="00B873FA" w:rsidRDefault="0020630D" w:rsidP="00632A60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 xml:space="preserve">According to type of exposure </w:t>
      </w:r>
      <w:r>
        <w:rPr>
          <w:rFonts w:eastAsia="Times New Roman" w:cs="Times New Roman"/>
        </w:rPr>
        <w:t xml:space="preserve">high exposure due to </w:t>
      </w:r>
      <w:r w:rsidRPr="00B873FA">
        <w:rPr>
          <w:rFonts w:eastAsia="Times New Roman" w:cs="Times New Roman"/>
        </w:rPr>
        <w:t>needle prick 104(79.4%), cut wound 15(11.5%). Most devices caused injuries were syringe 63(48.1%) , suture needle</w:t>
      </w:r>
      <w:r w:rsidR="00C33CB5">
        <w:rPr>
          <w:rFonts w:eastAsia="Times New Roman" w:cs="Times New Roman"/>
        </w:rPr>
        <w:t>18</w:t>
      </w:r>
      <w:r w:rsidRPr="00B873FA">
        <w:rPr>
          <w:rFonts w:eastAsia="Times New Roman" w:cs="Times New Roman"/>
        </w:rPr>
        <w:t xml:space="preserve"> </w:t>
      </w:r>
      <w:r w:rsidR="00C33CB5">
        <w:rPr>
          <w:rFonts w:eastAsia="Times New Roman" w:cs="Times New Roman"/>
        </w:rPr>
        <w:t>(</w:t>
      </w:r>
      <w:r w:rsidRPr="00B873FA">
        <w:rPr>
          <w:rFonts w:eastAsia="Times New Roman" w:cs="Times New Roman"/>
        </w:rPr>
        <w:t>13.7%),cannula and insulin syringe each 13 (9.9%).</w:t>
      </w:r>
    </w:p>
    <w:p w:rsidR="0020630D" w:rsidRPr="00B873FA" w:rsidRDefault="0020630D" w:rsidP="00632A60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B873FA">
        <w:rPr>
          <w:rFonts w:eastAsia="Times New Roman" w:cs="Times New Roman"/>
        </w:rPr>
        <w:t>Regarding circumstances of injury , most during operation 23 (17.6%) , during waste collection 15 (11.5%) , cannulation 12 (9.2%)  and giving injection 12 (9.2%) .</w:t>
      </w:r>
    </w:p>
    <w:p w:rsidR="0020630D" w:rsidRDefault="0020630D" w:rsidP="00632A60">
      <w:pPr>
        <w:tabs>
          <w:tab w:val="left" w:pos="6479"/>
        </w:tabs>
        <w:spacing w:line="276" w:lineRule="auto"/>
        <w:rPr>
          <w:rFonts w:eastAsia="Times New Roman" w:cs="Times New Roman"/>
        </w:rPr>
      </w:pPr>
      <w:r w:rsidRPr="00A3652F">
        <w:rPr>
          <w:rFonts w:eastAsia="Times New Roman" w:cs="Times New Roman"/>
        </w:rPr>
        <w:t xml:space="preserve">Exposure </w:t>
      </w:r>
      <w:r w:rsidR="00C33CB5">
        <w:rPr>
          <w:rFonts w:eastAsia="Times New Roman" w:cs="Times New Roman"/>
        </w:rPr>
        <w:t>to HBV , HCV and HIV were 4(3.1</w:t>
      </w:r>
      <w:r w:rsidRPr="00A3652F">
        <w:rPr>
          <w:rFonts w:eastAsia="Times New Roman" w:cs="Times New Roman"/>
        </w:rPr>
        <w:t>%) , 3(2.3%) and 3 (2.3%) respectively. No seroconversion among employee were documented.</w:t>
      </w:r>
    </w:p>
    <w:p w:rsidR="00434AE7" w:rsidRDefault="00434AE7">
      <w:pPr>
        <w:rPr>
          <w:sz w:val="22"/>
          <w:szCs w:val="22"/>
        </w:rPr>
      </w:pPr>
    </w:p>
    <w:p w:rsidR="00434AE7" w:rsidRDefault="00434AE7">
      <w:pPr>
        <w:rPr>
          <w:sz w:val="22"/>
          <w:szCs w:val="22"/>
        </w:rPr>
      </w:pPr>
    </w:p>
    <w:p w:rsidR="00E41E46" w:rsidRPr="00632A60" w:rsidRDefault="002A224B">
      <w:pPr>
        <w:rPr>
          <w:b/>
          <w:bCs/>
        </w:rPr>
      </w:pPr>
      <w:r w:rsidRPr="00632A60">
        <w:rPr>
          <w:b/>
          <w:bCs/>
        </w:rPr>
        <w:t xml:space="preserve">Table 1 : Sociodemographic characteristics of </w:t>
      </w:r>
    </w:p>
    <w:p w:rsidR="002A224B" w:rsidRPr="00632A60" w:rsidRDefault="002A224B">
      <w:pPr>
        <w:rPr>
          <w:b/>
          <w:bCs/>
        </w:rPr>
      </w:pPr>
      <w:r w:rsidRPr="00632A60">
        <w:rPr>
          <w:b/>
          <w:bCs/>
        </w:rPr>
        <w:t xml:space="preserve">Health care workers exposed to Sharp object injury </w:t>
      </w:r>
    </w:p>
    <w:tbl>
      <w:tblPr>
        <w:tblStyle w:val="6-3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3764"/>
        <w:gridCol w:w="2926"/>
      </w:tblGrid>
      <w:tr w:rsidR="002A224B" w:rsidRPr="00632A60" w:rsidTr="005C7D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  <w:tcBorders>
              <w:bottom w:val="none" w:sz="0" w:space="0" w:color="auto"/>
            </w:tcBorders>
          </w:tcPr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>Sociodemographic characteristics</w:t>
            </w:r>
          </w:p>
        </w:tc>
        <w:tc>
          <w:tcPr>
            <w:tcW w:w="2926" w:type="dxa"/>
            <w:tcBorders>
              <w:bottom w:val="none" w:sz="0" w:space="0" w:color="auto"/>
            </w:tcBorders>
          </w:tcPr>
          <w:p w:rsidR="002A224B" w:rsidRPr="00632A60" w:rsidRDefault="002A224B" w:rsidP="00EE0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Number of Incidents  </w:t>
            </w:r>
          </w:p>
          <w:p w:rsidR="002A224B" w:rsidRPr="00632A60" w:rsidRDefault="002A224B" w:rsidP="00EE0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n (%)</w:t>
            </w:r>
          </w:p>
        </w:tc>
      </w:tr>
      <w:tr w:rsidR="002A224B" w:rsidRPr="00632A60" w:rsidTr="005C7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:rsidR="002A224B" w:rsidRPr="00632A60" w:rsidRDefault="002A224B" w:rsidP="00EE0C23">
            <w:pPr>
              <w:rPr>
                <w:color w:val="auto"/>
              </w:rPr>
            </w:pPr>
            <w:r w:rsidRPr="00632A60">
              <w:rPr>
                <w:color w:val="auto"/>
              </w:rPr>
              <w:t>Sex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  Male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  Female</w:t>
            </w:r>
          </w:p>
          <w:p w:rsidR="002A224B" w:rsidRPr="00632A60" w:rsidRDefault="002A224B" w:rsidP="00EE0C23">
            <w:pPr>
              <w:rPr>
                <w:color w:val="auto"/>
              </w:rPr>
            </w:pPr>
            <w:r w:rsidRPr="00632A60">
              <w:rPr>
                <w:color w:val="auto"/>
              </w:rPr>
              <w:t>Age group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 20 – 30yrs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 31 – 40 yrs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 41 – 50yrs 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 More than 50 yrs</w:t>
            </w:r>
          </w:p>
          <w:p w:rsidR="002A224B" w:rsidRPr="00632A60" w:rsidRDefault="002A224B" w:rsidP="00EE0C23">
            <w:pPr>
              <w:rPr>
                <w:color w:val="auto"/>
              </w:rPr>
            </w:pPr>
            <w:r w:rsidRPr="00632A60">
              <w:rPr>
                <w:color w:val="auto"/>
              </w:rPr>
              <w:t>Nationality</w:t>
            </w:r>
          </w:p>
          <w:p w:rsidR="002A224B" w:rsidRPr="00632A60" w:rsidRDefault="00494139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>Filipino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 Saudi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Indian</w:t>
            </w:r>
          </w:p>
          <w:p w:rsidR="002A224B" w:rsidRPr="00632A60" w:rsidRDefault="002A224B" w:rsidP="00EE0C23">
            <w:pPr>
              <w:rPr>
                <w:b w:val="0"/>
                <w:bCs w:val="0"/>
                <w:color w:val="auto"/>
              </w:rPr>
            </w:pPr>
            <w:r w:rsidRPr="00632A60">
              <w:rPr>
                <w:b w:val="0"/>
                <w:bCs w:val="0"/>
                <w:color w:val="auto"/>
              </w:rPr>
              <w:t xml:space="preserve">     Others(10 nationalities)</w:t>
            </w:r>
          </w:p>
        </w:tc>
        <w:tc>
          <w:tcPr>
            <w:tcW w:w="2926" w:type="dxa"/>
          </w:tcPr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N(%)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33(25.2%)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98(74.8%)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73(55.7%)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37(28.2%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6(4.6)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3(2.3%)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42(32.1%)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31(23.7%)</w:t>
            </w:r>
          </w:p>
          <w:p w:rsidR="002A224B" w:rsidRPr="00632A60" w:rsidRDefault="002A224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632A60">
              <w:rPr>
                <w:color w:val="auto"/>
              </w:rPr>
              <w:t>26(19.8%)</w:t>
            </w:r>
          </w:p>
          <w:p w:rsidR="002A224B" w:rsidRPr="00632A60" w:rsidRDefault="00E85D9B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32(24.6%</w:t>
            </w:r>
            <w:r w:rsidR="002A224B" w:rsidRPr="00632A60">
              <w:rPr>
                <w:color w:val="auto"/>
              </w:rPr>
              <w:t>)</w:t>
            </w:r>
          </w:p>
        </w:tc>
      </w:tr>
    </w:tbl>
    <w:p w:rsidR="00D7663C" w:rsidRDefault="00D7663C"/>
    <w:p w:rsidR="00632A60" w:rsidRDefault="0020630D" w:rsidP="00632A60">
      <w:r w:rsidRPr="00E0486E">
        <w:rPr>
          <w:noProof/>
          <w:shd w:val="clear" w:color="auto" w:fill="EAF1DD" w:themeFill="accent3" w:themeFillTint="33"/>
        </w:rPr>
        <w:drawing>
          <wp:inline distT="0" distB="0" distL="0" distR="0">
            <wp:extent cx="4286250" cy="3584575"/>
            <wp:effectExtent l="0" t="0" r="0" b="15875"/>
            <wp:docPr id="1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32A60" w:rsidRDefault="00632A60" w:rsidP="00632A60"/>
    <w:p w:rsidR="00434AE7" w:rsidRDefault="00434AE7" w:rsidP="006578C9">
      <w:pPr>
        <w:rPr>
          <w:b/>
          <w:bCs/>
        </w:rPr>
      </w:pPr>
    </w:p>
    <w:p w:rsidR="00434AE7" w:rsidRDefault="00434AE7" w:rsidP="006578C9">
      <w:pPr>
        <w:rPr>
          <w:b/>
          <w:bCs/>
        </w:rPr>
      </w:pPr>
    </w:p>
    <w:p w:rsidR="00CB0AB1" w:rsidRDefault="00CB0AB1" w:rsidP="006578C9">
      <w:pPr>
        <w:rPr>
          <w:b/>
          <w:bCs/>
        </w:rPr>
      </w:pPr>
    </w:p>
    <w:p w:rsidR="00434AE7" w:rsidRDefault="00434AE7" w:rsidP="006578C9">
      <w:pPr>
        <w:rPr>
          <w:b/>
          <w:bCs/>
        </w:rPr>
      </w:pPr>
    </w:p>
    <w:p w:rsidR="00C33CB5" w:rsidRDefault="00C33CB5" w:rsidP="006578C9">
      <w:pPr>
        <w:rPr>
          <w:b/>
          <w:bCs/>
        </w:rPr>
      </w:pPr>
    </w:p>
    <w:p w:rsidR="00C33CB5" w:rsidRDefault="00C33CB5" w:rsidP="006578C9">
      <w:pPr>
        <w:rPr>
          <w:b/>
          <w:bCs/>
        </w:rPr>
      </w:pPr>
    </w:p>
    <w:p w:rsidR="00C33CB5" w:rsidRDefault="00C33CB5" w:rsidP="006578C9">
      <w:pPr>
        <w:rPr>
          <w:b/>
          <w:bCs/>
        </w:rPr>
      </w:pPr>
    </w:p>
    <w:p w:rsidR="00C33CB5" w:rsidRDefault="00C33CB5" w:rsidP="006578C9">
      <w:pPr>
        <w:rPr>
          <w:b/>
          <w:bCs/>
        </w:rPr>
      </w:pPr>
    </w:p>
    <w:p w:rsidR="004049A9" w:rsidRPr="006578C9" w:rsidRDefault="00E41E46" w:rsidP="00064FC4">
      <w:pPr>
        <w:rPr>
          <w:b/>
          <w:bCs/>
        </w:rPr>
      </w:pPr>
      <w:r w:rsidRPr="006578C9">
        <w:rPr>
          <w:b/>
          <w:bCs/>
        </w:rPr>
        <w:lastRenderedPageBreak/>
        <w:t xml:space="preserve">Table </w:t>
      </w:r>
      <w:r w:rsidR="006578C9">
        <w:rPr>
          <w:b/>
          <w:bCs/>
        </w:rPr>
        <w:t>2</w:t>
      </w:r>
      <w:r w:rsidRPr="006578C9">
        <w:rPr>
          <w:b/>
          <w:bCs/>
        </w:rPr>
        <w:t xml:space="preserve"> : </w:t>
      </w:r>
      <w:r w:rsidR="00064FC4">
        <w:rPr>
          <w:b/>
          <w:bCs/>
        </w:rPr>
        <w:t>C</w:t>
      </w:r>
      <w:r w:rsidRPr="006578C9">
        <w:rPr>
          <w:b/>
          <w:bCs/>
        </w:rPr>
        <w:t xml:space="preserve">haracteristics </w:t>
      </w:r>
      <w:r w:rsidR="00064FC4">
        <w:rPr>
          <w:b/>
          <w:bCs/>
        </w:rPr>
        <w:t xml:space="preserve">according to department , device and circumstances </w:t>
      </w:r>
      <w:r w:rsidRPr="006578C9">
        <w:rPr>
          <w:b/>
          <w:bCs/>
        </w:rPr>
        <w:t xml:space="preserve">of </w:t>
      </w:r>
      <w:r w:rsidR="00064FC4">
        <w:rPr>
          <w:b/>
          <w:bCs/>
        </w:rPr>
        <w:t xml:space="preserve">injury among </w:t>
      </w:r>
      <w:r w:rsidR="006578C9" w:rsidRPr="006578C9">
        <w:rPr>
          <w:b/>
          <w:bCs/>
        </w:rPr>
        <w:t xml:space="preserve">Health </w:t>
      </w:r>
      <w:r w:rsidR="00494139">
        <w:rPr>
          <w:b/>
          <w:bCs/>
        </w:rPr>
        <w:t>c</w:t>
      </w:r>
      <w:r w:rsidRPr="006578C9">
        <w:rPr>
          <w:b/>
          <w:bCs/>
        </w:rPr>
        <w:t>are workers exposed to Sharp object injury</w:t>
      </w:r>
    </w:p>
    <w:tbl>
      <w:tblPr>
        <w:tblStyle w:val="6-31"/>
        <w:tblW w:w="5000" w:type="pct"/>
        <w:tblLook w:val="04A0" w:firstRow="1" w:lastRow="0" w:firstColumn="1" w:lastColumn="0" w:noHBand="0" w:noVBand="1"/>
      </w:tblPr>
      <w:tblGrid>
        <w:gridCol w:w="4950"/>
        <w:gridCol w:w="3356"/>
      </w:tblGrid>
      <w:tr w:rsidR="007B2DE6" w:rsidRPr="0020630D" w:rsidTr="006578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  <w:tcBorders>
              <w:top w:val="single" w:sz="12" w:space="0" w:color="auto"/>
              <w:bottom w:val="single" w:sz="12" w:space="0" w:color="auto"/>
            </w:tcBorders>
          </w:tcPr>
          <w:p w:rsidR="00C302AB" w:rsidRPr="0020630D" w:rsidRDefault="00DC22F2" w:rsidP="00EE0C23">
            <w:pPr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Associated factors</w:t>
            </w:r>
          </w:p>
        </w:tc>
        <w:tc>
          <w:tcPr>
            <w:tcW w:w="2020" w:type="pct"/>
            <w:tcBorders>
              <w:top w:val="single" w:sz="12" w:space="0" w:color="auto"/>
              <w:bottom w:val="single" w:sz="12" w:space="0" w:color="auto"/>
            </w:tcBorders>
          </w:tcPr>
          <w:p w:rsidR="00C13C8E" w:rsidRPr="0020630D" w:rsidRDefault="00DC22F2" w:rsidP="00DC22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 xml:space="preserve">Number of Incidents </w:t>
            </w:r>
          </w:p>
          <w:p w:rsidR="00DC22F2" w:rsidRPr="0020630D" w:rsidRDefault="00DC22F2" w:rsidP="00DC22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 xml:space="preserve"> n (%)</w:t>
            </w:r>
          </w:p>
          <w:p w:rsidR="00C302AB" w:rsidRPr="0020630D" w:rsidRDefault="00C302AB" w:rsidP="00EE0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</w:p>
        </w:tc>
      </w:tr>
      <w:tr w:rsidR="007B2DE6" w:rsidRPr="0020630D" w:rsidTr="00657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  <w:tcBorders>
              <w:top w:val="single" w:sz="12" w:space="0" w:color="auto"/>
              <w:bottom w:val="single" w:sz="12" w:space="0" w:color="auto"/>
            </w:tcBorders>
          </w:tcPr>
          <w:p w:rsidR="00DC22F2" w:rsidRPr="0020630D" w:rsidRDefault="00DC22F2" w:rsidP="00C334D0">
            <w:pPr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Hospital departments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ER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Surgical ward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OR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ICU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Lab</w:t>
            </w:r>
          </w:p>
          <w:p w:rsidR="00DC22F2" w:rsidRPr="0020630D" w:rsidRDefault="00DC22F2" w:rsidP="00A4449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Medical ward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Medical waste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 Others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 xml:space="preserve">Device cause injury       </w:t>
            </w:r>
          </w:p>
          <w:p w:rsidR="00DC22F2" w:rsidRPr="0020630D" w:rsidRDefault="00DC22F2" w:rsidP="001F2A5A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  Syringe</w:t>
            </w:r>
          </w:p>
          <w:p w:rsidR="00DC22F2" w:rsidRPr="0020630D" w:rsidRDefault="00494139" w:rsidP="001F2A5A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Suture</w:t>
            </w:r>
            <w:r w:rsidR="00DC22F2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needle</w:t>
            </w:r>
          </w:p>
          <w:p w:rsidR="00DC22F2" w:rsidRPr="0020630D" w:rsidRDefault="00494139" w:rsidP="001F2A5A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Cannula</w:t>
            </w:r>
          </w:p>
          <w:p w:rsidR="00DC22F2" w:rsidRPr="0020630D" w:rsidRDefault="00DC22F2" w:rsidP="001F2A5A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  Insulin </w:t>
            </w:r>
            <w:r w:rsidR="00494139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syringe</w:t>
            </w:r>
          </w:p>
          <w:p w:rsidR="00DC22F2" w:rsidRPr="0020630D" w:rsidRDefault="00DC22F2" w:rsidP="001F2A5A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  SURGICAL instrument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Others</w:t>
            </w:r>
          </w:p>
          <w:p w:rsidR="00DC22F2" w:rsidRPr="0020630D" w:rsidRDefault="00DC22F2" w:rsidP="00EE0C23">
            <w:pPr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Circumstances of injury</w:t>
            </w:r>
          </w:p>
          <w:p w:rsidR="00DC22F2" w:rsidRPr="0020630D" w:rsidRDefault="00DC22F2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 During </w:t>
            </w:r>
            <w:r w:rsidR="00494139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operation</w:t>
            </w:r>
          </w:p>
          <w:p w:rsidR="00DC22F2" w:rsidRPr="0020630D" w:rsidRDefault="00DC22F2" w:rsidP="00DC22F2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 During waste collection</w:t>
            </w:r>
          </w:p>
          <w:p w:rsidR="00DC22F2" w:rsidRPr="0020630D" w:rsidRDefault="00DC22F2" w:rsidP="00DC22F2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Cannulation</w:t>
            </w:r>
          </w:p>
          <w:p w:rsidR="00DC22F2" w:rsidRPr="0020630D" w:rsidRDefault="00DC22F2" w:rsidP="00DC22F2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During given injection</w:t>
            </w:r>
          </w:p>
          <w:p w:rsidR="00DC22F2" w:rsidRPr="0020630D" w:rsidRDefault="00DC22F2" w:rsidP="00DC22F2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During blood extraction</w:t>
            </w:r>
          </w:p>
          <w:p w:rsidR="00DC22F2" w:rsidRPr="0020630D" w:rsidRDefault="00DC22F2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During blood </w:t>
            </w:r>
            <w:r w:rsidR="00494139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sugar</w:t>
            </w: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monitoring</w:t>
            </w:r>
          </w:p>
          <w:p w:rsidR="00DC22F2" w:rsidRPr="0020630D" w:rsidRDefault="00BC0DAF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D</w:t>
            </w:r>
            <w:r w:rsidR="00DC22F2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uring needle recapping</w:t>
            </w:r>
          </w:p>
          <w:p w:rsidR="00DC22F2" w:rsidRPr="0020630D" w:rsidRDefault="00BC0DAF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 D</w:t>
            </w:r>
            <w:r w:rsidR="00DC22F2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uring needle discard</w:t>
            </w:r>
          </w:p>
          <w:p w:rsidR="00DC22F2" w:rsidRPr="0020630D" w:rsidRDefault="00494139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Wronged</w:t>
            </w:r>
            <w:r w:rsidR="00DC22F2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place needle</w:t>
            </w:r>
          </w:p>
          <w:p w:rsidR="00DC22F2" w:rsidRPr="0020630D" w:rsidRDefault="00BC0DAF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         D</w:t>
            </w:r>
            <w:r w:rsidR="00DC22F2"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uring insulin injection</w:t>
            </w:r>
          </w:p>
          <w:p w:rsidR="00DC22F2" w:rsidRPr="0020630D" w:rsidRDefault="00DC22F2" w:rsidP="004049A9">
            <w:pPr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Others</w:t>
            </w:r>
          </w:p>
        </w:tc>
        <w:tc>
          <w:tcPr>
            <w:tcW w:w="2020" w:type="pct"/>
            <w:tcBorders>
              <w:top w:val="single" w:sz="12" w:space="0" w:color="auto"/>
              <w:bottom w:val="single" w:sz="12" w:space="0" w:color="auto"/>
            </w:tcBorders>
          </w:tcPr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26 (19.8%)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20 (15.3%)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16 (12.2%)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13 (9.9%)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13 (9.9%)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12 (9.2%)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7 (5.3%)</w:t>
            </w:r>
          </w:p>
          <w:p w:rsidR="00DC22F2" w:rsidRPr="0020630D" w:rsidRDefault="00DC22F2" w:rsidP="00EE0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24 (18.5%)</w:t>
            </w: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63 (48.1)</w:t>
            </w: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18 (13.7)</w:t>
            </w: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13 (9.9)</w:t>
            </w: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13 (9.9)</w:t>
            </w: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6 (4.6)</w:t>
            </w:r>
          </w:p>
          <w:p w:rsidR="00DC22F2" w:rsidRPr="0020630D" w:rsidRDefault="00DC22F2" w:rsidP="001F2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18 (13.8)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23 (17.6)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15 (11.5)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12 (9.2)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12 (9.2)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11 (8.4)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8 (6.1)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8 (6.1)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7 (5.3)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7 (5.3)</w:t>
            </w:r>
          </w:p>
          <w:p w:rsidR="00DC22F2" w:rsidRPr="0020630D" w:rsidRDefault="00DC22F2" w:rsidP="00C30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6 (4.6)</w:t>
            </w:r>
          </w:p>
          <w:p w:rsidR="00DC22F2" w:rsidRPr="0020630D" w:rsidRDefault="00DC22F2" w:rsidP="00DC2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</w:rPr>
            </w:pPr>
            <w:r w:rsidRPr="0020630D">
              <w:rPr>
                <w:rFonts w:asciiTheme="majorBidi" w:hAnsiTheme="majorBidi" w:cstheme="majorBidi"/>
                <w:color w:val="auto"/>
              </w:rPr>
              <w:t>22 (16.9)</w:t>
            </w:r>
          </w:p>
        </w:tc>
      </w:tr>
    </w:tbl>
    <w:p w:rsidR="00632A60" w:rsidRDefault="00632A60"/>
    <w:p w:rsidR="00632A60" w:rsidRDefault="00632A60"/>
    <w:p w:rsidR="00CE5F10" w:rsidRPr="0020630D" w:rsidRDefault="00CE5F10" w:rsidP="00CE5F10">
      <w:pPr>
        <w:rPr>
          <w:rFonts w:asciiTheme="majorBidi" w:hAnsiTheme="majorBidi" w:cstheme="majorBidi"/>
          <w:b/>
          <w:bCs/>
        </w:rPr>
      </w:pPr>
      <w:r w:rsidRPr="0020630D">
        <w:rPr>
          <w:rFonts w:asciiTheme="majorBidi" w:hAnsiTheme="majorBidi" w:cstheme="majorBidi"/>
          <w:b/>
          <w:bCs/>
        </w:rPr>
        <w:t xml:space="preserve">Table 3 : Occupation of Health care workers exposed </w:t>
      </w:r>
    </w:p>
    <w:p w:rsidR="00DF6F32" w:rsidRPr="0020630D" w:rsidRDefault="00CE5F10" w:rsidP="00CE5F10">
      <w:pPr>
        <w:rPr>
          <w:rFonts w:asciiTheme="majorBidi" w:hAnsiTheme="majorBidi" w:cstheme="majorBidi"/>
          <w:b/>
          <w:bCs/>
        </w:rPr>
      </w:pPr>
      <w:r w:rsidRPr="0020630D">
        <w:rPr>
          <w:rFonts w:asciiTheme="majorBidi" w:hAnsiTheme="majorBidi" w:cstheme="majorBidi"/>
          <w:b/>
          <w:bCs/>
        </w:rPr>
        <w:t xml:space="preserve">to Sharp object injury </w:t>
      </w:r>
    </w:p>
    <w:tbl>
      <w:tblPr>
        <w:tblStyle w:val="6-31"/>
        <w:tblW w:w="6237" w:type="dxa"/>
        <w:tblLook w:val="04A0" w:firstRow="1" w:lastRow="0" w:firstColumn="1" w:lastColumn="0" w:noHBand="0" w:noVBand="1"/>
      </w:tblPr>
      <w:tblGrid>
        <w:gridCol w:w="3261"/>
        <w:gridCol w:w="2976"/>
      </w:tblGrid>
      <w:tr w:rsidR="00CE5F10" w:rsidRPr="0020630D" w:rsidTr="00632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 Staff job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 xml:space="preserve">Number of Incidents </w:t>
            </w:r>
          </w:p>
          <w:p w:rsidR="00CE5F10" w:rsidRPr="0020630D" w:rsidRDefault="00CE5F10" w:rsidP="00C92D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20630D">
              <w:rPr>
                <w:rFonts w:asciiTheme="majorBidi" w:hAnsiTheme="majorBidi" w:cstheme="majorBidi"/>
                <w:b w:val="0"/>
                <w:bCs w:val="0"/>
                <w:color w:val="auto"/>
              </w:rPr>
              <w:t>N (%)</w:t>
            </w:r>
          </w:p>
        </w:tc>
      </w:tr>
      <w:tr w:rsidR="00CE5F10" w:rsidRPr="0020630D" w:rsidTr="00632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Nurse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74 (56.5)</w:t>
            </w:r>
          </w:p>
        </w:tc>
      </w:tr>
      <w:tr w:rsidR="00CE5F10" w:rsidRPr="0020630D" w:rsidTr="00632A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Doctor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23 (17.6)</w:t>
            </w:r>
          </w:p>
        </w:tc>
      </w:tr>
      <w:tr w:rsidR="00CE5F10" w:rsidRPr="0020630D" w:rsidTr="00632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House keeper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18 (13.7)</w:t>
            </w:r>
          </w:p>
        </w:tc>
      </w:tr>
      <w:tr w:rsidR="00CE5F10" w:rsidRPr="0020630D" w:rsidTr="00632A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TECHNICIAN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8 (6.1)</w:t>
            </w:r>
          </w:p>
        </w:tc>
      </w:tr>
      <w:tr w:rsidR="00CE5F10" w:rsidRPr="0020630D" w:rsidTr="00632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Yellow man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4 (3.1)</w:t>
            </w:r>
          </w:p>
        </w:tc>
      </w:tr>
      <w:tr w:rsidR="00CE5F10" w:rsidRPr="0020630D" w:rsidTr="00632A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Paramedic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2 (1.5)</w:t>
            </w:r>
          </w:p>
        </w:tc>
      </w:tr>
      <w:tr w:rsidR="00CE5F10" w:rsidRPr="0020630D" w:rsidTr="00632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Trainer in lab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1 (0.8)</w:t>
            </w:r>
          </w:p>
        </w:tc>
      </w:tr>
      <w:tr w:rsidR="00CE5F10" w:rsidRPr="0020630D" w:rsidTr="00632A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Yellow man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1 (0.8)</w:t>
            </w:r>
          </w:p>
        </w:tc>
      </w:tr>
      <w:tr w:rsidR="00CE5F10" w:rsidRPr="0020630D" w:rsidTr="00632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:rsidR="00CE5F10" w:rsidRPr="0020630D" w:rsidRDefault="00CE5F10" w:rsidP="00C92D83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  <w:t>Total</w:t>
            </w:r>
          </w:p>
        </w:tc>
        <w:tc>
          <w:tcPr>
            <w:tcW w:w="2976" w:type="dxa"/>
            <w:noWrap/>
            <w:hideMark/>
          </w:tcPr>
          <w:p w:rsidR="00CE5F10" w:rsidRPr="0020630D" w:rsidRDefault="00CE5F10" w:rsidP="00C92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0630D">
              <w:rPr>
                <w:rFonts w:asciiTheme="majorBidi" w:eastAsia="Times New Roman" w:hAnsiTheme="majorBidi" w:cstheme="majorBidi"/>
                <w:color w:val="000000"/>
              </w:rPr>
              <w:t>131(100)</w:t>
            </w:r>
          </w:p>
        </w:tc>
      </w:tr>
    </w:tbl>
    <w:p w:rsidR="006578C9" w:rsidRDefault="006578C9" w:rsidP="00064FC4">
      <w:pPr>
        <w:tabs>
          <w:tab w:val="left" w:pos="14955"/>
        </w:tabs>
        <w:bidi/>
      </w:pPr>
    </w:p>
    <w:p w:rsidR="00D1425F" w:rsidRPr="006578C9" w:rsidRDefault="006578C9" w:rsidP="00D1425F">
      <w:pPr>
        <w:tabs>
          <w:tab w:val="left" w:pos="14955"/>
        </w:tabs>
        <w:bidi/>
        <w:jc w:val="right"/>
        <w:rPr>
          <w:b/>
          <w:bCs/>
          <w:sz w:val="28"/>
          <w:szCs w:val="28"/>
        </w:rPr>
      </w:pPr>
      <w:r w:rsidRPr="006578C9">
        <w:rPr>
          <w:b/>
          <w:bCs/>
          <w:sz w:val="28"/>
          <w:szCs w:val="28"/>
        </w:rPr>
        <w:lastRenderedPageBreak/>
        <w:t>Discussion</w:t>
      </w:r>
      <w:r w:rsidR="00D1425F">
        <w:rPr>
          <w:b/>
          <w:bCs/>
          <w:sz w:val="28"/>
          <w:szCs w:val="28"/>
        </w:rPr>
        <w:t>:</w:t>
      </w:r>
    </w:p>
    <w:p w:rsidR="006578C9" w:rsidRDefault="006578C9" w:rsidP="0075699F">
      <w:pPr>
        <w:tabs>
          <w:tab w:val="left" w:pos="14955"/>
        </w:tabs>
        <w:bidi/>
        <w:spacing w:line="276" w:lineRule="auto"/>
        <w:jc w:val="right"/>
      </w:pPr>
      <w:r>
        <w:t xml:space="preserve">Sharp injury is the common cause of blood borne exposure in HCW </w:t>
      </w:r>
      <w:r w:rsidR="001974E2">
        <w:t>.The results of this study</w:t>
      </w:r>
      <w:r>
        <w:t xml:space="preserve"> showed that incidence of sharp injuries increase from 2.89 /10.000 patient days in 2016 to 3.422/ 10.000 patients days in  2017</w:t>
      </w:r>
      <w:r w:rsidR="0037415E">
        <w:t xml:space="preserve"> (figure 1) </w:t>
      </w:r>
      <w:r>
        <w:t xml:space="preserve">. </w:t>
      </w:r>
      <w:r w:rsidR="001974E2">
        <w:t xml:space="preserve">Comparing this results to study done in KSA, </w:t>
      </w:r>
      <w:r>
        <w:t>incidences was</w:t>
      </w:r>
      <w:r w:rsidR="001974E2">
        <w:t xml:space="preserve"> 4.09/10.000 in 2009 and 5.9/10.000 </w:t>
      </w:r>
      <w:r w:rsidR="00064FC4">
        <w:t>patient</w:t>
      </w:r>
      <w:r>
        <w:t xml:space="preserve"> days in 2010</w:t>
      </w:r>
      <w:r w:rsidR="006E0E24">
        <w:fldChar w:fldCharType="begin"/>
      </w:r>
      <w:r w:rsidR="006E0E24">
        <w:instrText xml:space="preserve"> ADDIN EN.CITE &lt;EndNote&gt;&lt;Cite&gt;&lt;Author&gt;Mazi&lt;/Author&gt;&lt;Year&gt;2015&lt;/Year&gt;&lt;RecNum&gt;6&lt;/RecNum&gt;&lt;DisplayText&gt;[6]&lt;/DisplayText&gt;&lt;record&gt;&lt;rec-number&gt;6&lt;/rec-number&gt;&lt;foreign-keys&gt;&lt;key app="EN" db-id="vr9eerapxrtaase2de7xftrxvsvep0eaw5aw" timestamp="1519735513"&gt;6&lt;/key&gt;&lt;/foreign-keys&gt;&lt;ref-type name="Journal Article"&gt;17&lt;/ref-type&gt;&lt;contributors&gt;&lt;authors&gt;&lt;author&gt;Mazi, Waleed&lt;/author&gt;&lt;author&gt;Senok, Abiola C&lt;/author&gt;&lt;author&gt;Assiri, Abdullah M&lt;/author&gt;&lt;author&gt;Kazem, Najla&lt;/author&gt;&lt;author&gt;Abato, Avigail Tan&lt;/author&gt;&lt;/authors&gt;&lt;/contributors&gt;&lt;titles&gt;&lt;title&gt;Occupational exposure to blood-borne pathogens in a tertiary hospital: benchmarking using patient days&lt;/title&gt;&lt;secondary-title&gt;Asia Pacific Journal of Public Health&lt;/secondary-title&gt;&lt;/titles&gt;&lt;periodical&gt;&lt;full-title&gt;Asia Pacific Journal of Public Health&lt;/full-title&gt;&lt;/periodical&gt;&lt;pages&gt;NP1727-NP1732&lt;/pages&gt;&lt;volume&gt;27&lt;/volume&gt;&lt;number&gt;2&lt;/number&gt;&lt;dates&gt;&lt;year&gt;2015&lt;/year&gt;&lt;/dates&gt;&lt;isbn&gt;1010-5395&lt;/isbn&gt;&lt;urls&gt;&lt;/urls&gt;&lt;/record&gt;&lt;/Cite&gt;&lt;/EndNote&gt;</w:instrText>
      </w:r>
      <w:r w:rsidR="006E0E24">
        <w:fldChar w:fldCharType="separate"/>
      </w:r>
      <w:r w:rsidR="006E0E24">
        <w:rPr>
          <w:noProof/>
        </w:rPr>
        <w:t>[6]</w:t>
      </w:r>
      <w:r w:rsidR="006E0E24">
        <w:fldChar w:fldCharType="end"/>
      </w:r>
      <w:r w:rsidR="001974E2">
        <w:t xml:space="preserve"> There is</w:t>
      </w:r>
      <w:r>
        <w:t xml:space="preserve"> decrease in ov</w:t>
      </w:r>
      <w:r w:rsidR="001974E2">
        <w:t>erall incidences. Incidence</w:t>
      </w:r>
      <w:r>
        <w:t xml:space="preserve"> is highest among nurse (75%) which are similar finding to reporte</w:t>
      </w:r>
      <w:r w:rsidR="0037415E">
        <w:t xml:space="preserve">d finding in literature before </w:t>
      </w:r>
      <w:r>
        <w:t xml:space="preserve">There is increase of incidence among housekeeper staff(18%) </w:t>
      </w:r>
      <w:r w:rsidR="0037415E">
        <w:t xml:space="preserve">(table 3 ) </w:t>
      </w:r>
      <w:r>
        <w:t>comparing wit</w:t>
      </w:r>
      <w:r w:rsidR="0037415E">
        <w:t>h other study report in KSA (3.7</w:t>
      </w:r>
      <w:r>
        <w:t>%)</w:t>
      </w:r>
      <w:r w:rsidR="0075699F">
        <w:fldChar w:fldCharType="begin"/>
      </w:r>
      <w:r w:rsidR="0075699F">
        <w:instrText xml:space="preserve"> ADDIN EN.CITE &lt;EndNote&gt;&lt;Cite&gt;&lt;Author&gt;Mazi&lt;/Author&gt;&lt;Year&gt;2015&lt;/Year&gt;&lt;RecNum&gt;6&lt;/RecNum&gt;&lt;DisplayText&gt;[6]&lt;/DisplayText&gt;&lt;record&gt;&lt;rec-number&gt;6&lt;/rec-number&gt;&lt;foreign-keys&gt;&lt;key app="EN" db-id="vr9eerapxrtaase2de7xftrxvsvep0eaw5aw" timestamp="1519735513"&gt;6&lt;/key&gt;&lt;/foreign-keys&gt;&lt;ref-type name="Journal Article"&gt;17&lt;/ref-type&gt;&lt;contributors&gt;&lt;authors&gt;&lt;author&gt;Mazi, Waleed&lt;/author&gt;&lt;author&gt;Senok, Abiola C&lt;/author&gt;&lt;author&gt;Assiri, Abdullah M&lt;/author&gt;&lt;author&gt;Kazem, Najla&lt;/author&gt;&lt;author&gt;Abato, Avigail Tan&lt;/author&gt;&lt;/authors&gt;&lt;/contributors&gt;&lt;titles&gt;&lt;title&gt;Occupational exposure to blood-borne pathogens in a tertiary hospital: benchmarking using patient days&lt;/title&gt;&lt;secondary-title&gt;Asia Pacific Journal of Public Health&lt;/secondary-title&gt;&lt;/titles&gt;&lt;periodical&gt;&lt;full-title&gt;Asia Pacific Journal of Public Health&lt;/full-title&gt;&lt;/periodical&gt;&lt;pages&gt;NP1727-NP1732&lt;/pages&gt;&lt;volume&gt;27&lt;/volume&gt;&lt;number&gt;2&lt;/number&gt;&lt;dates&gt;&lt;year&gt;2015&lt;/year&gt;&lt;/dates&gt;&lt;isbn&gt;1010-5395&lt;/isbn&gt;&lt;urls&gt;&lt;/urls&gt;&lt;/record&gt;&lt;/Cite&gt;&lt;/EndNote&gt;</w:instrText>
      </w:r>
      <w:r w:rsidR="0075699F">
        <w:fldChar w:fldCharType="separate"/>
      </w:r>
      <w:r w:rsidR="0075699F">
        <w:rPr>
          <w:noProof/>
        </w:rPr>
        <w:t>[6]</w:t>
      </w:r>
      <w:r w:rsidR="0075699F">
        <w:fldChar w:fldCharType="end"/>
      </w:r>
      <w:r w:rsidR="0075699F">
        <w:t xml:space="preserve"> </w:t>
      </w:r>
      <w:r w:rsidR="0037415E">
        <w:t xml:space="preserve"> </w:t>
      </w:r>
      <w:r>
        <w:t xml:space="preserve">. </w:t>
      </w:r>
      <w:r w:rsidR="0037415E">
        <w:t>The cause may be due to i</w:t>
      </w:r>
      <w:r>
        <w:t xml:space="preserve">mprove of surveillance however also indicate poor adherence to disposable of sharp in clinical staff . </w:t>
      </w:r>
    </w:p>
    <w:p w:rsidR="006578C9" w:rsidRDefault="006578C9" w:rsidP="0075699F">
      <w:pPr>
        <w:tabs>
          <w:tab w:val="left" w:pos="14955"/>
        </w:tabs>
        <w:bidi/>
        <w:spacing w:line="276" w:lineRule="auto"/>
        <w:jc w:val="right"/>
      </w:pPr>
      <w:r>
        <w:t xml:space="preserve">Regarding hospital </w:t>
      </w:r>
      <w:r w:rsidR="0037415E">
        <w:t>department, there</w:t>
      </w:r>
      <w:r>
        <w:t xml:space="preserve"> is high incidence of sharp injuries in Emergency department (19.8%) </w:t>
      </w:r>
      <w:r w:rsidR="0037415E">
        <w:t>same like previous study in KSA (21.5%)</w:t>
      </w:r>
      <w:r w:rsidR="0075699F">
        <w:fldChar w:fldCharType="begin"/>
      </w:r>
      <w:r w:rsidR="0075699F">
        <w:instrText xml:space="preserve"> ADDIN EN.CITE &lt;EndNote&gt;&lt;Cite&gt;&lt;Author&gt;Mazi&lt;/Author&gt;&lt;Year&gt;2015&lt;/Year&gt;&lt;RecNum&gt;6&lt;/RecNum&gt;&lt;DisplayText&gt;[6]&lt;/DisplayText&gt;&lt;record&gt;&lt;rec-number&gt;6&lt;/rec-number&gt;&lt;foreign-keys&gt;&lt;key app="EN" db-id="vr9eerapxrtaase2de7xftrxvsvep0eaw5aw" timestamp="1519735513"&gt;6&lt;/key&gt;&lt;/foreign-keys&gt;&lt;ref-type name="Journal Article"&gt;17&lt;/ref-type&gt;&lt;contributors&gt;&lt;authors&gt;&lt;author&gt;Mazi, Waleed&lt;/author&gt;&lt;author&gt;Senok, Abiola C&lt;/author&gt;&lt;author&gt;Assiri, Abdullah M&lt;/author&gt;&lt;author&gt;Kazem, Najla&lt;/author&gt;&lt;author&gt;Abato, Avigail Tan&lt;/author&gt;&lt;/authors&gt;&lt;/contributors&gt;&lt;titles&gt;&lt;title&gt;Occupational exposure to blood-borne pathogens in a tertiary hospital: benchmarking using patient days&lt;/title&gt;&lt;secondary-title&gt;Asia Pacific Journal of Public Health&lt;/secondary-title&gt;&lt;/titles&gt;&lt;periodical&gt;&lt;full-title&gt;Asia Pacific Journal of Public Health&lt;/full-title&gt;&lt;/periodical&gt;&lt;pages&gt;NP1727-NP1732&lt;/pages&gt;&lt;volume&gt;27&lt;/volume&gt;&lt;number&gt;2&lt;/number&gt;&lt;dates&gt;&lt;year&gt;2015&lt;/year&gt;&lt;/dates&gt;&lt;isbn&gt;1010-5395&lt;/isbn&gt;&lt;urls&gt;&lt;/urls&gt;&lt;/record&gt;&lt;/Cite&gt;&lt;/EndNote&gt;</w:instrText>
      </w:r>
      <w:r w:rsidR="0075699F">
        <w:fldChar w:fldCharType="separate"/>
      </w:r>
      <w:r w:rsidR="0075699F">
        <w:rPr>
          <w:noProof/>
        </w:rPr>
        <w:t>[6]</w:t>
      </w:r>
      <w:r w:rsidR="0075699F">
        <w:fldChar w:fldCharType="end"/>
      </w:r>
      <w:r w:rsidR="0075699F">
        <w:t xml:space="preserve"> </w:t>
      </w:r>
      <w:r w:rsidR="0037415E">
        <w:t xml:space="preserve"> F</w:t>
      </w:r>
      <w:r>
        <w:t xml:space="preserve">ollowed </w:t>
      </w:r>
      <w:r w:rsidR="0037415E">
        <w:t xml:space="preserve">by </w:t>
      </w:r>
      <w:r>
        <w:t>Surgical w</w:t>
      </w:r>
      <w:r w:rsidR="00D1425F">
        <w:t>ord (15.3%). B</w:t>
      </w:r>
      <w:r w:rsidR="0037415E">
        <w:t xml:space="preserve">ore </w:t>
      </w:r>
      <w:r w:rsidR="00D1425F">
        <w:t xml:space="preserve">hollow </w:t>
      </w:r>
      <w:r w:rsidR="0037415E">
        <w:t>device is the most device causing</w:t>
      </w:r>
      <w:r>
        <w:t xml:space="preserve"> injury </w:t>
      </w:r>
      <w:r w:rsidR="00D1425F">
        <w:t>(table 3</w:t>
      </w:r>
      <w:r>
        <w:t>)</w:t>
      </w:r>
      <w:r w:rsidR="0037415E">
        <w:t>.</w:t>
      </w:r>
    </w:p>
    <w:p w:rsidR="00CB0AB1" w:rsidRPr="001A5A79" w:rsidRDefault="00CB0AB1" w:rsidP="001A5A79">
      <w:pPr>
        <w:tabs>
          <w:tab w:val="left" w:pos="14955"/>
        </w:tabs>
        <w:bidi/>
        <w:spacing w:line="276" w:lineRule="auto"/>
        <w:jc w:val="right"/>
        <w:rPr>
          <w:rtl/>
        </w:rPr>
      </w:pPr>
      <w:r>
        <w:t xml:space="preserve">The use of blunt needle reduce the risk of gloves perforation with relative risk of </w:t>
      </w:r>
      <w:r w:rsidR="001A5A79">
        <w:t xml:space="preserve">0.46 compare to sharp needles </w:t>
      </w:r>
      <w:r w:rsidR="001A5A79">
        <w:fldChar w:fldCharType="begin"/>
      </w:r>
      <w:r w:rsidR="001A5A79">
        <w:instrText xml:space="preserve"> ADDIN EN.CITE &lt;EndNote&gt;&lt;Cite&gt;&lt;Author&gt;Parantainen&lt;/Author&gt;&lt;Year&gt;2011&lt;/Year&gt;&lt;RecNum&gt;4&lt;/RecNum&gt;&lt;DisplayText&gt;[4]&lt;/DisplayText&gt;&lt;record&gt;&lt;rec-number&gt;4&lt;/rec-number&gt;&lt;foreign-keys&gt;&lt;key app="EN" db-id="vr9eerapxrtaase2de7xftrxvsvep0eaw5aw" timestamp="1519735198"&gt;4&lt;/key&gt;&lt;/foreign-keys&gt;&lt;ref-type name="Journal Article"&gt;17&lt;/ref-type&gt;&lt;contributors&gt;&lt;authors&gt;&lt;author&gt;Parantainen, Annika&lt;/author&gt;&lt;author&gt;Verbeek, Jos H&lt;/author&gt;&lt;author&gt;Lavoie, Marie-Claude&lt;/author&gt;&lt;author&gt;Pahwa, Manisha&lt;/author&gt;&lt;/authors&gt;&lt;/contributors&gt;&lt;titles&gt;&lt;title&gt;Blunt versus sharp suture needles for preventing percutaneous exposure incidents in surgical staff&lt;/title&gt;&lt;secondary-title&gt;Cochrane Database Syst Rev&lt;/secondary-title&gt;&lt;/titles&gt;&lt;periodical&gt;&lt;full-title&gt;Cochrane Database Syst Rev&lt;/full-title&gt;&lt;/periodical&gt;&lt;volume&gt;11&lt;/volume&gt;&lt;number&gt;11&lt;/number&gt;&lt;dates&gt;&lt;year&gt;2011&lt;/year&gt;&lt;/dates&gt;&lt;urls&gt;&lt;/urls&gt;&lt;/record&gt;&lt;/Cite&gt;&lt;/EndNote&gt;</w:instrText>
      </w:r>
      <w:r w:rsidR="001A5A79">
        <w:fldChar w:fldCharType="separate"/>
      </w:r>
      <w:r w:rsidR="001A5A79">
        <w:rPr>
          <w:noProof/>
        </w:rPr>
        <w:t>[4]</w:t>
      </w:r>
      <w:r w:rsidR="001A5A79">
        <w:fldChar w:fldCharType="end"/>
      </w:r>
      <w:r w:rsidR="001A5A79">
        <w:t>.</w:t>
      </w:r>
    </w:p>
    <w:p w:rsidR="00CB0AB1" w:rsidRDefault="00CB0AB1" w:rsidP="00D1425F">
      <w:pPr>
        <w:tabs>
          <w:tab w:val="left" w:pos="14955"/>
        </w:tabs>
        <w:bidi/>
        <w:spacing w:line="276" w:lineRule="auto"/>
        <w:jc w:val="right"/>
      </w:pPr>
      <w:r>
        <w:t>There is variation of different studies in relation to sex in sharp injuries, the result of this study showed highest</w:t>
      </w:r>
      <w:r w:rsidR="00D1425F">
        <w:t xml:space="preserve"> among female  than male (3:1) sam</w:t>
      </w:r>
      <w:r>
        <w:t xml:space="preserve">e to study done in Iran which showed </w:t>
      </w:r>
      <w:r w:rsidR="001A5A79">
        <w:t>the proportion of female and male nurses was 72.6% and 27.4%</w:t>
      </w:r>
      <w:r w:rsidR="001A5A79">
        <w:fldChar w:fldCharType="begin"/>
      </w:r>
      <w:r w:rsidR="001A5A79">
        <w:instrText xml:space="preserve"> ADDIN EN.CITE &lt;EndNote&gt;&lt;Cite&gt;&lt;Author&gt;Jahangiri&lt;/Author&gt;&lt;Year&gt;2016&lt;/Year&gt;&lt;RecNum&gt;7&lt;/RecNum&gt;&lt;DisplayText&gt;[7]&lt;/DisplayText&gt;&lt;record&gt;&lt;rec-number&gt;7&lt;/rec-number&gt;&lt;foreign-keys&gt;&lt;key app="EN" db-id="vr9eerapxrtaase2de7xftrxvsvep0eaw5aw" timestamp="1519735946"&gt;7&lt;/key&gt;&lt;/foreign-keys&gt;&lt;ref-type name="Journal Article"&gt;17&lt;/ref-type&gt;&lt;contributors&gt;&lt;authors&gt;&lt;author&gt;Jahangiri, Mehdi&lt;/author&gt;&lt;author&gt;Rostamabadi, Akbar&lt;/author&gt;&lt;author&gt;Hoboubi, Naser&lt;/author&gt;&lt;author&gt;Tadayon, Neda&lt;/author&gt;&lt;author&gt;Soleimani, Ali&lt;/author&gt;&lt;/authors&gt;&lt;/contributors&gt;&lt;titles&gt;&lt;title&gt;Needle stick injuries and their related safety measures among nurses in a university hospital, Shiraz, Iran&lt;/title&gt;&lt;secondary-title&gt;Safety and health at work&lt;/secondary-title&gt;&lt;/titles&gt;&lt;periodical&gt;&lt;full-title&gt;Safety and health at work&lt;/full-title&gt;&lt;/periodical&gt;&lt;pages&gt;72-77&lt;/pages&gt;&lt;volume&gt;7&lt;/volume&gt;&lt;number&gt;1&lt;/number&gt;&lt;dates&gt;&lt;year&gt;2016&lt;/year&gt;&lt;/dates&gt;&lt;isbn&gt;2093-7911&lt;/isbn&gt;&lt;urls&gt;&lt;/urls&gt;&lt;/record&gt;&lt;/Cite&gt;&lt;/EndNote&gt;</w:instrText>
      </w:r>
      <w:r w:rsidR="001A5A79">
        <w:fldChar w:fldCharType="separate"/>
      </w:r>
      <w:r w:rsidR="001A5A79">
        <w:rPr>
          <w:noProof/>
        </w:rPr>
        <w:t>[7]</w:t>
      </w:r>
      <w:r w:rsidR="001A5A79">
        <w:fldChar w:fldCharType="end"/>
      </w:r>
    </w:p>
    <w:p w:rsidR="00725B71" w:rsidRPr="001A5A79" w:rsidRDefault="00725B71" w:rsidP="00725B71">
      <w:pPr>
        <w:tabs>
          <w:tab w:val="left" w:pos="14955"/>
        </w:tabs>
        <w:bidi/>
        <w:spacing w:line="276" w:lineRule="auto"/>
        <w:jc w:val="right"/>
        <w:rPr>
          <w:rtl/>
        </w:rPr>
      </w:pPr>
      <w:r>
        <w:t>This may be due to the fact that most of nurses in Saudi Arabia are females.</w:t>
      </w:r>
    </w:p>
    <w:p w:rsidR="00FE2E1B" w:rsidRDefault="00FE2E1B" w:rsidP="00FE2E1B">
      <w:pPr>
        <w:tabs>
          <w:tab w:val="left" w:pos="6479"/>
        </w:tabs>
        <w:rPr>
          <w:rFonts w:eastAsia="Times New Roman" w:cs="Times New Roman"/>
          <w:lang w:val="en"/>
        </w:rPr>
      </w:pPr>
      <w:r w:rsidRPr="00A3652F">
        <w:rPr>
          <w:rFonts w:eastAsia="Times New Roman" w:cs="Times New Roman"/>
          <w:lang w:val="en"/>
        </w:rPr>
        <w:t xml:space="preserve">Exposure to HBV , HCV and HIV were </w:t>
      </w:r>
      <w:r w:rsidR="00725B71">
        <w:rPr>
          <w:rFonts w:eastAsia="Times New Roman" w:cs="Times New Roman"/>
          <w:lang w:val="en"/>
        </w:rPr>
        <w:t xml:space="preserve">4(3.1%%) , 3(2.3%) and 3 (2.3%) </w:t>
      </w:r>
      <w:r w:rsidRPr="00A3652F">
        <w:rPr>
          <w:rFonts w:eastAsia="Times New Roman" w:cs="Times New Roman"/>
          <w:lang w:val="en"/>
        </w:rPr>
        <w:t>respectively. No seroconversion among employee were documented.</w:t>
      </w:r>
    </w:p>
    <w:p w:rsidR="006578C9" w:rsidRDefault="0037415E" w:rsidP="00FE2E1B">
      <w:pPr>
        <w:tabs>
          <w:tab w:val="left" w:pos="14955"/>
        </w:tabs>
        <w:bidi/>
        <w:jc w:val="right"/>
      </w:pPr>
      <w:r>
        <w:t>Vaccination coverage of HBV vaccine was 72.5% with  69.5% respondent.</w:t>
      </w:r>
    </w:p>
    <w:p w:rsidR="00FE2E1B" w:rsidRDefault="00FE2E1B" w:rsidP="00FE2E1B">
      <w:pPr>
        <w:spacing w:line="276" w:lineRule="auto"/>
      </w:pPr>
      <w:r>
        <w:t xml:space="preserve">Provision of safety engineering device </w:t>
      </w:r>
      <w:r w:rsidR="00725B71">
        <w:t xml:space="preserve">, vaccination coverage </w:t>
      </w:r>
      <w:r>
        <w:t xml:space="preserve">and education of the staff about standard precaution and post exposure prophylaxis is important to minimize the risk of sharp  injuries . </w:t>
      </w:r>
      <w:r w:rsidR="00725B71">
        <w:t>P</w:t>
      </w:r>
      <w:r>
        <w:t>rospective study to measure knowledge ,believe and altitude regarding  sharp injuries and post exposure prophylaxis is important  to decrease incidences of sharp injuries  among health care worker.</w:t>
      </w:r>
    </w:p>
    <w:p w:rsidR="00E457FB" w:rsidRPr="0037415E" w:rsidRDefault="00E457FB" w:rsidP="00494139">
      <w:pPr>
        <w:tabs>
          <w:tab w:val="left" w:pos="14955"/>
        </w:tabs>
        <w:bidi/>
        <w:spacing w:line="276" w:lineRule="auto"/>
      </w:pPr>
    </w:p>
    <w:p w:rsidR="006578C9" w:rsidRDefault="006578C9" w:rsidP="006578C9">
      <w:pPr>
        <w:spacing w:line="276" w:lineRule="auto"/>
        <w:rPr>
          <w:b/>
          <w:bCs/>
        </w:rPr>
      </w:pPr>
      <w:r>
        <w:rPr>
          <w:b/>
          <w:bCs/>
        </w:rPr>
        <w:t>C</w:t>
      </w:r>
      <w:r w:rsidRPr="006578C9">
        <w:rPr>
          <w:b/>
          <w:bCs/>
        </w:rPr>
        <w:t>onclusion</w:t>
      </w:r>
      <w:r>
        <w:rPr>
          <w:b/>
          <w:bCs/>
        </w:rPr>
        <w:t>:</w:t>
      </w:r>
    </w:p>
    <w:p w:rsidR="004C0E30" w:rsidRDefault="00E457FB" w:rsidP="00E457FB">
      <w:pPr>
        <w:spacing w:line="276" w:lineRule="auto"/>
      </w:pPr>
      <w:r w:rsidRPr="00E457FB">
        <w:t>There is increase in incidence of sharp needle injuries from 2016 to 2017.Female were more exposed than males . The younger and nurses were more affected . Emergency department was t</w:t>
      </w:r>
      <w:r w:rsidR="00725B71">
        <w:t>he most affected area. Bore hollow</w:t>
      </w:r>
      <w:r w:rsidRPr="00E457FB">
        <w:t xml:space="preserve"> needle was the most device causing sharp injuries. Sharp injuries during operation was the most circumstances during which exposures occurred followed by waste collection. </w:t>
      </w:r>
    </w:p>
    <w:p w:rsidR="00E457FB" w:rsidRDefault="00E457FB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Default="001C4B91" w:rsidP="00E457FB">
      <w:pPr>
        <w:spacing w:line="276" w:lineRule="auto"/>
      </w:pPr>
    </w:p>
    <w:p w:rsidR="001C4B91" w:rsidRPr="00E457FB" w:rsidRDefault="001C4B91" w:rsidP="00E457FB">
      <w:pPr>
        <w:spacing w:line="276" w:lineRule="auto"/>
      </w:pPr>
    </w:p>
    <w:p w:rsidR="001C4B91" w:rsidRPr="001C4B91" w:rsidRDefault="001C4B91" w:rsidP="001C4B91">
      <w:pPr>
        <w:pStyle w:val="a7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REFERENCES</w:t>
      </w:r>
    </w:p>
    <w:p w:rsidR="001A5A79" w:rsidRPr="001A5A79" w:rsidRDefault="000777FC" w:rsidP="001A5A79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1A5A79" w:rsidRPr="001A5A79">
        <w:t>1.</w:t>
      </w:r>
      <w:r w:rsidR="001A5A79" w:rsidRPr="001A5A79">
        <w:tab/>
        <w:t xml:space="preserve">Lubenow, J.A.M., et al., </w:t>
      </w:r>
      <w:r w:rsidR="001A5A79" w:rsidRPr="001A5A79">
        <w:rPr>
          <w:i/>
        </w:rPr>
        <w:t>Social representations of needlestick injuries.</w:t>
      </w:r>
      <w:r w:rsidR="001A5A79" w:rsidRPr="001A5A79">
        <w:t xml:space="preserve"> Revista Latino-Americana de Enfermagem, 2012. </w:t>
      </w:r>
      <w:r w:rsidR="001A5A79" w:rsidRPr="001A5A79">
        <w:rPr>
          <w:b/>
        </w:rPr>
        <w:t>20</w:t>
      </w:r>
      <w:r w:rsidR="001A5A79" w:rsidRPr="001A5A79">
        <w:t>(6): p. 1176-1185.</w:t>
      </w:r>
    </w:p>
    <w:p w:rsidR="001A5A79" w:rsidRPr="001A5A79" w:rsidRDefault="001A5A79" w:rsidP="001A5A79">
      <w:pPr>
        <w:pStyle w:val="EndNoteBibliography"/>
        <w:ind w:left="720" w:hanging="720"/>
      </w:pPr>
      <w:r w:rsidRPr="001A5A79">
        <w:t>2.</w:t>
      </w:r>
      <w:r w:rsidRPr="001A5A79">
        <w:tab/>
        <w:t xml:space="preserve">Mbaisi, E.M., P. Wanzala, and J. Omolo, </w:t>
      </w:r>
      <w:r w:rsidRPr="001A5A79">
        <w:rPr>
          <w:i/>
        </w:rPr>
        <w:t>Prevalence and factors associated with percutaneous injuries and splash exposures among health-care workers in a provincial hospital, Kenya, 2010.</w:t>
      </w:r>
      <w:r w:rsidRPr="001A5A79">
        <w:t xml:space="preserve"> Pan African Medical Journal, 2013. </w:t>
      </w:r>
      <w:r w:rsidRPr="001A5A79">
        <w:rPr>
          <w:b/>
        </w:rPr>
        <w:t>14</w:t>
      </w:r>
      <w:r w:rsidRPr="001A5A79">
        <w:t>(1).</w:t>
      </w:r>
    </w:p>
    <w:p w:rsidR="001A5A79" w:rsidRPr="001A5A79" w:rsidRDefault="001A5A79" w:rsidP="001A5A79">
      <w:pPr>
        <w:pStyle w:val="EndNoteBibliography"/>
        <w:ind w:left="720" w:hanging="720"/>
      </w:pPr>
      <w:r w:rsidRPr="001A5A79">
        <w:t>3.</w:t>
      </w:r>
      <w:r w:rsidRPr="001A5A79">
        <w:tab/>
        <w:t xml:space="preserve">Dolan, S.A., et al., </w:t>
      </w:r>
      <w:r w:rsidRPr="001A5A79">
        <w:rPr>
          <w:i/>
        </w:rPr>
        <w:t>APIC position paper: safe injection, infusion, and medication vial practices in health care.</w:t>
      </w:r>
      <w:r w:rsidRPr="001A5A79">
        <w:t xml:space="preserve"> American journal of infection control, 2010. </w:t>
      </w:r>
      <w:r w:rsidRPr="001A5A79">
        <w:rPr>
          <w:b/>
        </w:rPr>
        <w:t>38</w:t>
      </w:r>
      <w:r w:rsidRPr="001A5A79">
        <w:t>(3): p. 167-172.</w:t>
      </w:r>
    </w:p>
    <w:p w:rsidR="001A5A79" w:rsidRPr="001A5A79" w:rsidRDefault="001A5A79" w:rsidP="001A5A79">
      <w:pPr>
        <w:pStyle w:val="EndNoteBibliography"/>
        <w:ind w:left="720" w:hanging="720"/>
      </w:pPr>
      <w:r w:rsidRPr="001A5A79">
        <w:t>4.</w:t>
      </w:r>
      <w:r w:rsidRPr="001A5A79">
        <w:tab/>
        <w:t xml:space="preserve">Parantainen, A., et al., </w:t>
      </w:r>
      <w:r w:rsidRPr="001A5A79">
        <w:rPr>
          <w:i/>
        </w:rPr>
        <w:t>Blunt versus sharp suture needles for preventing percutaneous exposure incidents in surgical staff.</w:t>
      </w:r>
      <w:r w:rsidRPr="001A5A79">
        <w:t xml:space="preserve"> Cochrane Database Syst Rev, 2011. </w:t>
      </w:r>
      <w:r w:rsidRPr="001A5A79">
        <w:rPr>
          <w:b/>
        </w:rPr>
        <w:t>11</w:t>
      </w:r>
      <w:r w:rsidRPr="001A5A79">
        <w:t>(11).</w:t>
      </w:r>
    </w:p>
    <w:p w:rsidR="001A5A79" w:rsidRPr="001A5A79" w:rsidRDefault="001A5A79" w:rsidP="001A5A79">
      <w:pPr>
        <w:pStyle w:val="EndNoteBibliography"/>
        <w:ind w:left="720" w:hanging="720"/>
      </w:pPr>
      <w:r w:rsidRPr="001A5A79">
        <w:t>5.</w:t>
      </w:r>
      <w:r w:rsidRPr="001A5A79">
        <w:tab/>
        <w:t xml:space="preserve">Dilie, A., D. Amare, and T. Gualu, </w:t>
      </w:r>
      <w:r w:rsidRPr="001A5A79">
        <w:rPr>
          <w:i/>
        </w:rPr>
        <w:t>Occupational Exposure to Needle Stick and Sharp Injuries and Associated Factors among Health Care Workers in Awi Zone, Amhara Regional State, Northwest Ethiopia, 2016.</w:t>
      </w:r>
      <w:r w:rsidRPr="001A5A79">
        <w:t xml:space="preserve"> Journal of environmental and public health, 2017. </w:t>
      </w:r>
      <w:r w:rsidRPr="001A5A79">
        <w:rPr>
          <w:b/>
        </w:rPr>
        <w:t>2017</w:t>
      </w:r>
      <w:r w:rsidRPr="001A5A79">
        <w:t>.</w:t>
      </w:r>
    </w:p>
    <w:p w:rsidR="001A5A79" w:rsidRPr="001A5A79" w:rsidRDefault="001A5A79" w:rsidP="001A5A79">
      <w:pPr>
        <w:pStyle w:val="EndNoteBibliography"/>
        <w:ind w:left="720" w:hanging="720"/>
      </w:pPr>
      <w:r w:rsidRPr="001A5A79">
        <w:t>6.</w:t>
      </w:r>
      <w:r w:rsidRPr="001A5A79">
        <w:tab/>
        <w:t xml:space="preserve">Mazi, W., et al., </w:t>
      </w:r>
      <w:r w:rsidRPr="001A5A79">
        <w:rPr>
          <w:i/>
        </w:rPr>
        <w:t>Occupational exposure to blood-borne pathogens in a tertiary hospital: benchmarking using patient days.</w:t>
      </w:r>
      <w:r w:rsidRPr="001A5A79">
        <w:t xml:space="preserve"> Asia Pacific Journal of Public Health, 2015. </w:t>
      </w:r>
      <w:r w:rsidRPr="001A5A79">
        <w:rPr>
          <w:b/>
        </w:rPr>
        <w:t>27</w:t>
      </w:r>
      <w:r w:rsidRPr="001A5A79">
        <w:t>(2): p. NP1727-NP1732.</w:t>
      </w:r>
    </w:p>
    <w:p w:rsidR="001A5A79" w:rsidRPr="001A5A79" w:rsidRDefault="001A5A79" w:rsidP="001A5A79">
      <w:pPr>
        <w:pStyle w:val="EndNoteBibliography"/>
        <w:ind w:left="720" w:hanging="720"/>
      </w:pPr>
      <w:r w:rsidRPr="001A5A79">
        <w:t>7.</w:t>
      </w:r>
      <w:r w:rsidRPr="001A5A79">
        <w:tab/>
        <w:t xml:space="preserve">Jahangiri, M., et al., </w:t>
      </w:r>
      <w:r w:rsidRPr="001A5A79">
        <w:rPr>
          <w:i/>
        </w:rPr>
        <w:t>Needle stick injuries and their related safety measures among nurses in a university hospital, Shiraz, Iran.</w:t>
      </w:r>
      <w:r w:rsidRPr="001A5A79">
        <w:t xml:space="preserve"> Safety and health at work, 2016. </w:t>
      </w:r>
      <w:r w:rsidRPr="001A5A79">
        <w:rPr>
          <w:b/>
        </w:rPr>
        <w:t>7</w:t>
      </w:r>
      <w:r w:rsidRPr="001A5A79">
        <w:t>(1): p. 72-77.</w:t>
      </w:r>
    </w:p>
    <w:p w:rsidR="00A83013" w:rsidRDefault="000777FC" w:rsidP="001A5A79">
      <w:pPr>
        <w:spacing w:line="276" w:lineRule="auto"/>
      </w:pPr>
      <w:r>
        <w:fldChar w:fldCharType="end"/>
      </w:r>
    </w:p>
    <w:sectPr w:rsidR="00A83013" w:rsidSect="006B5FE0"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r9eerapxrtaase2de7xftrxvsvep0eaw5aw&quot;&gt;My EndNote Library&lt;record-ids&gt;&lt;item&gt;1&lt;/item&gt;&lt;item&gt;2&lt;/item&gt;&lt;item&gt;3&lt;/item&gt;&lt;item&gt;4&lt;/item&gt;&lt;item&gt;5&lt;/item&gt;&lt;item&gt;6&lt;/item&gt;&lt;item&gt;7&lt;/item&gt;&lt;/record-ids&gt;&lt;/item&gt;&lt;/Libraries&gt;"/>
  </w:docVars>
  <w:rsids>
    <w:rsidRoot w:val="00B33806"/>
    <w:rsid w:val="0002680C"/>
    <w:rsid w:val="00064FC4"/>
    <w:rsid w:val="000777FC"/>
    <w:rsid w:val="00094C12"/>
    <w:rsid w:val="000E2EA2"/>
    <w:rsid w:val="00193A3F"/>
    <w:rsid w:val="001974E2"/>
    <w:rsid w:val="001A1162"/>
    <w:rsid w:val="001A5A79"/>
    <w:rsid w:val="001C4B91"/>
    <w:rsid w:val="001E7B81"/>
    <w:rsid w:val="001F2A5A"/>
    <w:rsid w:val="00202589"/>
    <w:rsid w:val="0020630D"/>
    <w:rsid w:val="00287D30"/>
    <w:rsid w:val="002A224B"/>
    <w:rsid w:val="00317ACB"/>
    <w:rsid w:val="00356FBB"/>
    <w:rsid w:val="00367019"/>
    <w:rsid w:val="0037415E"/>
    <w:rsid w:val="003C7AD3"/>
    <w:rsid w:val="003F4FB9"/>
    <w:rsid w:val="003F532F"/>
    <w:rsid w:val="004049A9"/>
    <w:rsid w:val="00434AE7"/>
    <w:rsid w:val="00494139"/>
    <w:rsid w:val="004C0E30"/>
    <w:rsid w:val="00551A60"/>
    <w:rsid w:val="00552CA8"/>
    <w:rsid w:val="005C7DFA"/>
    <w:rsid w:val="005D3F8E"/>
    <w:rsid w:val="00632A60"/>
    <w:rsid w:val="006578C9"/>
    <w:rsid w:val="00692396"/>
    <w:rsid w:val="006B5FE0"/>
    <w:rsid w:val="006E0E24"/>
    <w:rsid w:val="00725B71"/>
    <w:rsid w:val="00730F43"/>
    <w:rsid w:val="00731470"/>
    <w:rsid w:val="0075699F"/>
    <w:rsid w:val="007658EA"/>
    <w:rsid w:val="007711F4"/>
    <w:rsid w:val="007913EC"/>
    <w:rsid w:val="007B2DE6"/>
    <w:rsid w:val="007B6572"/>
    <w:rsid w:val="007C055E"/>
    <w:rsid w:val="008276BF"/>
    <w:rsid w:val="008A1F09"/>
    <w:rsid w:val="008A3D22"/>
    <w:rsid w:val="008B292E"/>
    <w:rsid w:val="00980004"/>
    <w:rsid w:val="00A44493"/>
    <w:rsid w:val="00A77D6E"/>
    <w:rsid w:val="00A83013"/>
    <w:rsid w:val="00AE482F"/>
    <w:rsid w:val="00B008BB"/>
    <w:rsid w:val="00B07713"/>
    <w:rsid w:val="00B33806"/>
    <w:rsid w:val="00BC0DAF"/>
    <w:rsid w:val="00C13C8E"/>
    <w:rsid w:val="00C302AB"/>
    <w:rsid w:val="00C334D0"/>
    <w:rsid w:val="00C33CB5"/>
    <w:rsid w:val="00C372FE"/>
    <w:rsid w:val="00C46FE3"/>
    <w:rsid w:val="00C92D83"/>
    <w:rsid w:val="00CB0AB1"/>
    <w:rsid w:val="00CC3AD3"/>
    <w:rsid w:val="00CE5F10"/>
    <w:rsid w:val="00CF025C"/>
    <w:rsid w:val="00D1425F"/>
    <w:rsid w:val="00D17C88"/>
    <w:rsid w:val="00D73124"/>
    <w:rsid w:val="00D7663C"/>
    <w:rsid w:val="00D81D0D"/>
    <w:rsid w:val="00DB0DBB"/>
    <w:rsid w:val="00DC22F2"/>
    <w:rsid w:val="00DF6F32"/>
    <w:rsid w:val="00E0486E"/>
    <w:rsid w:val="00E41E46"/>
    <w:rsid w:val="00E457FB"/>
    <w:rsid w:val="00E85D9B"/>
    <w:rsid w:val="00EE69C4"/>
    <w:rsid w:val="00EF53DE"/>
    <w:rsid w:val="00FB294F"/>
    <w:rsid w:val="00FE2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4A2465"/>
  <w15:docId w15:val="{73F920CF-5377-4E97-8925-F38C463D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D0D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D0D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39"/>
    <w:rsid w:val="003F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a"/>
    <w:uiPriority w:val="40"/>
    <w:qFormat/>
    <w:rsid w:val="00BC0DAF"/>
    <w:pPr>
      <w:tabs>
        <w:tab w:val="decimal" w:pos="360"/>
      </w:tabs>
      <w:bidi/>
      <w:spacing w:after="200" w:line="276" w:lineRule="auto"/>
    </w:pPr>
    <w:rPr>
      <w:rFonts w:asciiTheme="minorHAnsi" w:eastAsiaTheme="minorEastAsia" w:hAnsiTheme="minorHAnsi" w:cs="Times New Roman"/>
      <w:sz w:val="22"/>
      <w:szCs w:val="22"/>
      <w:rtl/>
    </w:rPr>
  </w:style>
  <w:style w:type="paragraph" w:styleId="a5">
    <w:name w:val="footnote text"/>
    <w:basedOn w:val="a"/>
    <w:link w:val="Char"/>
    <w:uiPriority w:val="99"/>
    <w:unhideWhenUsed/>
    <w:rsid w:val="00BC0DAF"/>
    <w:pPr>
      <w:bidi/>
    </w:pPr>
    <w:rPr>
      <w:rFonts w:asciiTheme="minorHAnsi" w:eastAsiaTheme="minorEastAsia" w:hAnsiTheme="minorHAnsi" w:cs="Times New Roman"/>
      <w:sz w:val="20"/>
      <w:szCs w:val="20"/>
      <w:rtl/>
    </w:rPr>
  </w:style>
  <w:style w:type="character" w:customStyle="1" w:styleId="Char">
    <w:name w:val="نص حاشية سفلية Char"/>
    <w:basedOn w:val="a0"/>
    <w:link w:val="a5"/>
    <w:uiPriority w:val="99"/>
    <w:rsid w:val="00BC0DAF"/>
    <w:rPr>
      <w:rFonts w:eastAsiaTheme="minorEastAsia" w:cs="Times New Roman"/>
      <w:sz w:val="20"/>
      <w:szCs w:val="20"/>
    </w:rPr>
  </w:style>
  <w:style w:type="character" w:styleId="a6">
    <w:name w:val="Subtle Emphasis"/>
    <w:basedOn w:val="a0"/>
    <w:uiPriority w:val="19"/>
    <w:qFormat/>
    <w:rsid w:val="00BC0DAF"/>
    <w:rPr>
      <w:i/>
      <w:iCs/>
    </w:rPr>
  </w:style>
  <w:style w:type="table" w:styleId="2-5">
    <w:name w:val="Medium Shading 2 Accent 5"/>
    <w:basedOn w:val="a1"/>
    <w:uiPriority w:val="64"/>
    <w:rsid w:val="00BC0DAF"/>
    <w:pPr>
      <w:bidi/>
      <w:spacing w:after="0" w:line="240" w:lineRule="auto"/>
    </w:pPr>
    <w:rPr>
      <w:rFonts w:eastAsiaTheme="minorEastAsia"/>
      <w:rtl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3">
    <w:name w:val="Light List Accent 3"/>
    <w:basedOn w:val="a1"/>
    <w:uiPriority w:val="61"/>
    <w:rsid w:val="007B2DE6"/>
    <w:pPr>
      <w:bidi/>
      <w:spacing w:after="0" w:line="240" w:lineRule="auto"/>
    </w:pPr>
    <w:rPr>
      <w:rFonts w:eastAsiaTheme="minorEastAsia"/>
      <w:rtl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6-31">
    <w:name w:val="جدول قائمة 6 ملون - تمييز 31"/>
    <w:basedOn w:val="a1"/>
    <w:uiPriority w:val="51"/>
    <w:rsid w:val="007B2D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1">
    <w:name w:val="شبكة جدول فاتح1"/>
    <w:basedOn w:val="a1"/>
    <w:uiPriority w:val="40"/>
    <w:rsid w:val="00DF6F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جدول عادي 31"/>
    <w:basedOn w:val="a1"/>
    <w:uiPriority w:val="43"/>
    <w:rsid w:val="00DF6F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61">
    <w:name w:val="جدول قائمة 6 ملون1"/>
    <w:basedOn w:val="a1"/>
    <w:uiPriority w:val="51"/>
    <w:rsid w:val="00DF6F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7-31">
    <w:name w:val="جدول قائمة 7 ملون - تمييز 31"/>
    <w:basedOn w:val="a1"/>
    <w:uiPriority w:val="52"/>
    <w:rsid w:val="00DF6F3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7">
    <w:name w:val="Normal (Web)"/>
    <w:basedOn w:val="a"/>
    <w:uiPriority w:val="99"/>
    <w:unhideWhenUsed/>
    <w:rsid w:val="00A83013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fault">
    <w:name w:val="Default"/>
    <w:rsid w:val="00552C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Char0"/>
    <w:uiPriority w:val="99"/>
    <w:semiHidden/>
    <w:unhideWhenUsed/>
    <w:rsid w:val="006B5FE0"/>
    <w:rPr>
      <w:rFonts w:ascii="Tahoma" w:hAnsi="Tahoma" w:cs="Tahoma"/>
      <w:sz w:val="18"/>
      <w:szCs w:val="18"/>
    </w:rPr>
  </w:style>
  <w:style w:type="character" w:customStyle="1" w:styleId="Char0">
    <w:name w:val="نص في بالون Char"/>
    <w:basedOn w:val="a0"/>
    <w:link w:val="a8"/>
    <w:uiPriority w:val="99"/>
    <w:semiHidden/>
    <w:rsid w:val="006B5FE0"/>
    <w:rPr>
      <w:rFonts w:ascii="Tahoma" w:hAnsi="Tahoma" w:cs="Tahoma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0777FC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777FC"/>
    <w:rPr>
      <w:rFonts w:ascii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0777FC"/>
    <w:rPr>
      <w:rFonts w:cs="Times New Roman"/>
      <w:noProof/>
    </w:rPr>
  </w:style>
  <w:style w:type="character" w:customStyle="1" w:styleId="EndNoteBibliographyChar">
    <w:name w:val="EndNote Bibliography Char"/>
    <w:basedOn w:val="a0"/>
    <w:link w:val="EndNoteBibliography"/>
    <w:rsid w:val="000777FC"/>
    <w:rPr>
      <w:rFonts w:ascii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575;&#1604;&#1605;&#1604;&#1601;%20&#1575;&#1604;&#1580;&#1583;&#1610;&#1583;%20&#1575;&#1604;&#1576;&#1581;&#1579;%20&#1575;&#1604;&#1593;&#1604;&#1605;&#1609;1&#1584;&#1608;&#1575;&#1604;&#1581;&#1580;&#1577;%201436\&#1575;&#1604;&#1605;&#1604;&#1601;&#1575;&#1578;\&#1575;&#1604;&#1571;&#1576;&#1581;&#1575;&#1579;\&#1575;&#1604;&#1571;&#1576;&#1581;&#1575;&#1579;%20&#1575;&#1604;&#1605;&#1583;&#1610;&#1585;&#1610;&#1577;\52\STICK%20INJURY%20ALL\results\analysi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ar-S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Figure </a:t>
            </a:r>
            <a:r>
              <a:rPr lang="en-US" baseline="0"/>
              <a:t>(1) </a:t>
            </a:r>
            <a:r>
              <a:rPr lang="en-US"/>
              <a:t>Incidence (per 10000)patient days of Sharp object injury -Taif Saudi Arabia</a:t>
            </a:r>
            <a:endParaRPr lang="ar-SA"/>
          </a:p>
        </c:rich>
      </c:tx>
      <c:layout>
        <c:manualLayout>
          <c:xMode val="edge"/>
          <c:yMode val="edge"/>
          <c:x val="0.11546036745406819"/>
          <c:y val="2.7120090945230595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381013067809554E-2"/>
          <c:y val="0.20644192231669123"/>
          <c:w val="0.90438246242327291"/>
          <c:h val="0.68710454181756442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ar-S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  <a:prstDash val="sysDot"/>
                <a:headEnd type="diamond" w="lg" len="lg"/>
                <a:tailEnd type="diamond" w="lg" len="lg"/>
              </a:ln>
              <a:effectLst/>
            </c:spPr>
            <c:trendlineType val="linear"/>
            <c:dispRSqr val="0"/>
            <c:dispEq val="0"/>
          </c:trendline>
          <c:cat>
            <c:strRef>
              <c:f>ورقة9!$D$5:$E$5</c:f>
              <c:strCache>
                <c:ptCount val="2"/>
                <c:pt idx="0">
                  <c:v>Year 2016</c:v>
                </c:pt>
                <c:pt idx="1">
                  <c:v>Year 2017</c:v>
                </c:pt>
              </c:strCache>
            </c:strRef>
          </c:cat>
          <c:val>
            <c:numRef>
              <c:f>ورقة9!$D$6:$E$6</c:f>
              <c:numCache>
                <c:formatCode>General</c:formatCode>
                <c:ptCount val="2"/>
                <c:pt idx="0">
                  <c:v>2.8899999999999997</c:v>
                </c:pt>
                <c:pt idx="1">
                  <c:v>3.42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7BF-487A-B2DD-9779A1AC41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3366528"/>
        <c:axId val="163935744"/>
      </c:lineChart>
      <c:catAx>
        <c:axId val="133366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SA"/>
          </a:p>
        </c:txPr>
        <c:crossAx val="163935744"/>
        <c:crosses val="autoZero"/>
        <c:auto val="1"/>
        <c:lblAlgn val="ctr"/>
        <c:lblOffset val="100"/>
        <c:noMultiLvlLbl val="0"/>
      </c:catAx>
      <c:valAx>
        <c:axId val="163935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SA"/>
          </a:p>
        </c:txPr>
        <c:crossAx val="133366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ar-SA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3144</Words>
  <Characters>17927</Characters>
  <Application>Microsoft Office Word</Application>
  <DocSecurity>0</DocSecurity>
  <Lines>149</Lines>
  <Paragraphs>42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sitalnesa abdalla</dc:creator>
  <cp:lastModifiedBy>nuha ahned</cp:lastModifiedBy>
  <cp:revision>4</cp:revision>
  <cp:lastPrinted>2018-02-28T10:21:00Z</cp:lastPrinted>
  <dcterms:created xsi:type="dcterms:W3CDTF">2019-08-21T09:11:00Z</dcterms:created>
  <dcterms:modified xsi:type="dcterms:W3CDTF">2019-08-22T10:08:00Z</dcterms:modified>
</cp:coreProperties>
</file>