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26" w:rsidRDefault="00512B87" w:rsidP="00E41BE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Title: </w:t>
      </w:r>
      <w:r w:rsidR="00C95626">
        <w:rPr>
          <w:rFonts w:ascii="Arial" w:hAnsi="Arial" w:cs="Arial"/>
          <w:b/>
          <w:bCs/>
          <w:sz w:val="24"/>
          <w:szCs w:val="24"/>
        </w:rPr>
        <w:t xml:space="preserve">Impact of nutritional status on outcome of treatment and mortality among MDR TB patients </w:t>
      </w:r>
    </w:p>
    <w:p w:rsidR="000543D1" w:rsidRPr="00E41BE6" w:rsidRDefault="000543D1" w:rsidP="00E41BE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E41BE6">
        <w:rPr>
          <w:rFonts w:ascii="Arial" w:hAnsi="Arial" w:cs="Arial"/>
          <w:b/>
          <w:bCs/>
          <w:sz w:val="24"/>
          <w:szCs w:val="24"/>
        </w:rPr>
        <w:t>Abstract:</w:t>
      </w:r>
    </w:p>
    <w:p w:rsidR="00C62DB6" w:rsidRPr="00E41BE6" w:rsidRDefault="009077CD" w:rsidP="00E41BE6">
      <w:pPr>
        <w:spacing w:line="360" w:lineRule="auto"/>
        <w:rPr>
          <w:rFonts w:ascii="Arial" w:hAnsi="Arial" w:cs="Arial"/>
          <w:sz w:val="24"/>
          <w:szCs w:val="24"/>
        </w:rPr>
      </w:pPr>
      <w:r w:rsidRPr="00E41BE6">
        <w:rPr>
          <w:rFonts w:ascii="Arial" w:hAnsi="Arial" w:cs="Arial"/>
          <w:sz w:val="24"/>
          <w:szCs w:val="24"/>
        </w:rPr>
        <w:t>Despite</w:t>
      </w:r>
      <w:r w:rsidR="000543D1" w:rsidRPr="00E41BE6">
        <w:rPr>
          <w:rFonts w:ascii="Arial" w:hAnsi="Arial" w:cs="Arial"/>
          <w:sz w:val="24"/>
          <w:szCs w:val="24"/>
        </w:rPr>
        <w:t xml:space="preserve"> of the adoption of strategies f</w:t>
      </w:r>
      <w:r w:rsidRPr="00E41BE6">
        <w:rPr>
          <w:rFonts w:ascii="Arial" w:hAnsi="Arial" w:cs="Arial"/>
          <w:sz w:val="24"/>
          <w:szCs w:val="24"/>
        </w:rPr>
        <w:t>o</w:t>
      </w:r>
      <w:r w:rsidR="000543D1" w:rsidRPr="00E41BE6">
        <w:rPr>
          <w:rFonts w:ascii="Arial" w:hAnsi="Arial" w:cs="Arial"/>
          <w:sz w:val="24"/>
          <w:szCs w:val="24"/>
        </w:rPr>
        <w:t>r</w:t>
      </w:r>
      <w:r w:rsidRPr="00E41BE6">
        <w:rPr>
          <w:rFonts w:ascii="Arial" w:hAnsi="Arial" w:cs="Arial"/>
          <w:sz w:val="24"/>
          <w:szCs w:val="24"/>
        </w:rPr>
        <w:t xml:space="preserve"> prevent</w:t>
      </w:r>
      <w:r w:rsidR="000C419F" w:rsidRPr="00E41BE6">
        <w:rPr>
          <w:rFonts w:ascii="Arial" w:hAnsi="Arial" w:cs="Arial"/>
          <w:sz w:val="24"/>
          <w:szCs w:val="24"/>
        </w:rPr>
        <w:t>ion</w:t>
      </w:r>
      <w:r w:rsidRPr="00E41BE6">
        <w:rPr>
          <w:rFonts w:ascii="Arial" w:hAnsi="Arial" w:cs="Arial"/>
          <w:sz w:val="24"/>
          <w:szCs w:val="24"/>
        </w:rPr>
        <w:t xml:space="preserve"> and treatment </w:t>
      </w:r>
      <w:r w:rsidR="000543D1" w:rsidRPr="00E41BE6">
        <w:rPr>
          <w:rFonts w:ascii="Arial" w:hAnsi="Arial" w:cs="Arial"/>
          <w:sz w:val="24"/>
          <w:szCs w:val="24"/>
        </w:rPr>
        <w:t xml:space="preserve">of </w:t>
      </w:r>
      <w:r w:rsidRPr="00E41BE6">
        <w:rPr>
          <w:rFonts w:ascii="Arial" w:hAnsi="Arial" w:cs="Arial"/>
          <w:sz w:val="24"/>
          <w:szCs w:val="24"/>
        </w:rPr>
        <w:t xml:space="preserve">multidrug resistant tuberculosis over the past decade, MDR TB still continues to challenge mankind with high overall treatment failure and mortality </w:t>
      </w:r>
      <w:r w:rsidR="000543D1" w:rsidRPr="00E41BE6">
        <w:rPr>
          <w:rFonts w:ascii="Arial" w:hAnsi="Arial" w:cs="Arial"/>
          <w:sz w:val="24"/>
          <w:szCs w:val="24"/>
        </w:rPr>
        <w:t xml:space="preserve">rate </w:t>
      </w:r>
      <w:r w:rsidRPr="00E41BE6">
        <w:rPr>
          <w:rFonts w:ascii="Arial" w:hAnsi="Arial" w:cs="Arial"/>
          <w:sz w:val="24"/>
          <w:szCs w:val="24"/>
        </w:rPr>
        <w:t xml:space="preserve">especially among </w:t>
      </w:r>
      <w:r w:rsidR="000C419F" w:rsidRPr="00E41BE6">
        <w:rPr>
          <w:rFonts w:ascii="Arial" w:hAnsi="Arial" w:cs="Arial"/>
          <w:sz w:val="24"/>
          <w:szCs w:val="24"/>
        </w:rPr>
        <w:t xml:space="preserve">the </w:t>
      </w:r>
      <w:r w:rsidR="000543D1" w:rsidRPr="00E41BE6">
        <w:rPr>
          <w:rFonts w:ascii="Arial" w:hAnsi="Arial" w:cs="Arial"/>
          <w:sz w:val="24"/>
          <w:szCs w:val="24"/>
        </w:rPr>
        <w:t>Asian</w:t>
      </w:r>
      <w:r w:rsidRPr="00E41BE6">
        <w:rPr>
          <w:rFonts w:ascii="Arial" w:hAnsi="Arial" w:cs="Arial"/>
          <w:sz w:val="24"/>
          <w:szCs w:val="24"/>
        </w:rPr>
        <w:t xml:space="preserve"> countries.</w:t>
      </w:r>
    </w:p>
    <w:p w:rsidR="009077CD" w:rsidRPr="00E41BE6" w:rsidRDefault="009077CD" w:rsidP="00E41BE6">
      <w:pPr>
        <w:spacing w:line="360" w:lineRule="auto"/>
        <w:rPr>
          <w:rFonts w:ascii="Arial" w:hAnsi="Arial" w:cs="Arial"/>
          <w:sz w:val="24"/>
          <w:szCs w:val="24"/>
        </w:rPr>
      </w:pPr>
      <w:r w:rsidRPr="00E41BE6">
        <w:rPr>
          <w:rFonts w:ascii="Arial" w:hAnsi="Arial" w:cs="Arial"/>
          <w:sz w:val="24"/>
          <w:szCs w:val="24"/>
        </w:rPr>
        <w:t xml:space="preserve">It is important to identify </w:t>
      </w:r>
      <w:r w:rsidR="000543D1" w:rsidRPr="00E41BE6">
        <w:rPr>
          <w:rFonts w:ascii="Arial" w:hAnsi="Arial" w:cs="Arial"/>
          <w:sz w:val="24"/>
          <w:szCs w:val="24"/>
        </w:rPr>
        <w:t xml:space="preserve">the </w:t>
      </w:r>
      <w:r w:rsidRPr="00E41BE6">
        <w:rPr>
          <w:rFonts w:ascii="Arial" w:hAnsi="Arial" w:cs="Arial"/>
          <w:sz w:val="24"/>
          <w:szCs w:val="24"/>
        </w:rPr>
        <w:t xml:space="preserve">modifiable </w:t>
      </w:r>
      <w:r w:rsidR="000543D1" w:rsidRPr="00E41BE6">
        <w:rPr>
          <w:rFonts w:ascii="Arial" w:hAnsi="Arial" w:cs="Arial"/>
          <w:sz w:val="24"/>
          <w:szCs w:val="24"/>
        </w:rPr>
        <w:t xml:space="preserve">risk </w:t>
      </w:r>
      <w:r w:rsidRPr="00E41BE6">
        <w:rPr>
          <w:rFonts w:ascii="Arial" w:hAnsi="Arial" w:cs="Arial"/>
          <w:sz w:val="24"/>
          <w:szCs w:val="24"/>
        </w:rPr>
        <w:t xml:space="preserve">factors that may </w:t>
      </w:r>
      <w:r w:rsidR="000543D1" w:rsidRPr="00E41BE6">
        <w:rPr>
          <w:rFonts w:ascii="Arial" w:hAnsi="Arial" w:cs="Arial"/>
          <w:sz w:val="24"/>
          <w:szCs w:val="24"/>
        </w:rPr>
        <w:t xml:space="preserve">have adverse </w:t>
      </w:r>
      <w:r w:rsidRPr="00E41BE6">
        <w:rPr>
          <w:rFonts w:ascii="Arial" w:hAnsi="Arial" w:cs="Arial"/>
          <w:sz w:val="24"/>
          <w:szCs w:val="24"/>
        </w:rPr>
        <w:t xml:space="preserve">impact on MDR TB treatment outcome. This retrospective cohort study was conducted to elucidate the association </w:t>
      </w:r>
      <w:r w:rsidR="000543D1" w:rsidRPr="00E41BE6">
        <w:rPr>
          <w:rFonts w:ascii="Arial" w:hAnsi="Arial" w:cs="Arial"/>
          <w:sz w:val="24"/>
          <w:szCs w:val="24"/>
        </w:rPr>
        <w:t>between</w:t>
      </w:r>
      <w:r w:rsidRPr="00E41BE6">
        <w:rPr>
          <w:rFonts w:ascii="Arial" w:hAnsi="Arial" w:cs="Arial"/>
          <w:sz w:val="24"/>
          <w:szCs w:val="24"/>
        </w:rPr>
        <w:t xml:space="preserve"> nutritional status and outcome of treatment and all cause mortality in 323 MDR tuberculosis patients registered at the DOTS Plus site of a tertiary care teaching hospital between </w:t>
      </w:r>
      <w:r w:rsidR="000C419F" w:rsidRPr="00E41BE6">
        <w:rPr>
          <w:rFonts w:ascii="Arial" w:hAnsi="Arial" w:cs="Arial"/>
          <w:sz w:val="24"/>
          <w:szCs w:val="24"/>
        </w:rPr>
        <w:t>April</w:t>
      </w:r>
      <w:r w:rsidRPr="00E41BE6">
        <w:rPr>
          <w:rFonts w:ascii="Arial" w:hAnsi="Arial" w:cs="Arial"/>
          <w:sz w:val="24"/>
          <w:szCs w:val="24"/>
        </w:rPr>
        <w:t xml:space="preserve"> 2010 to March 2012. Univariate and multivariate logistic regression </w:t>
      </w:r>
      <w:r w:rsidR="000C419F" w:rsidRPr="00E41BE6">
        <w:rPr>
          <w:rFonts w:ascii="Arial" w:hAnsi="Arial" w:cs="Arial"/>
          <w:sz w:val="24"/>
          <w:szCs w:val="24"/>
        </w:rPr>
        <w:t xml:space="preserve">analysis </w:t>
      </w:r>
      <w:r w:rsidRPr="00E41BE6">
        <w:rPr>
          <w:rFonts w:ascii="Arial" w:hAnsi="Arial" w:cs="Arial"/>
          <w:sz w:val="24"/>
          <w:szCs w:val="24"/>
        </w:rPr>
        <w:t xml:space="preserve">was used to evaluate </w:t>
      </w:r>
      <w:r w:rsidR="000C419F" w:rsidRPr="00E41BE6">
        <w:rPr>
          <w:rFonts w:ascii="Arial" w:hAnsi="Arial" w:cs="Arial"/>
          <w:sz w:val="24"/>
          <w:szCs w:val="24"/>
        </w:rPr>
        <w:t xml:space="preserve">the association of </w:t>
      </w:r>
      <w:r w:rsidRPr="00E41BE6">
        <w:rPr>
          <w:rFonts w:ascii="Arial" w:hAnsi="Arial" w:cs="Arial"/>
          <w:sz w:val="24"/>
          <w:szCs w:val="24"/>
        </w:rPr>
        <w:t>nutritional status with outcome of treatment and all cause mortality.</w:t>
      </w:r>
    </w:p>
    <w:p w:rsidR="00B22428" w:rsidRPr="00E41BE6" w:rsidRDefault="000C419F" w:rsidP="00E41BE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E41BE6">
        <w:rPr>
          <w:rFonts w:ascii="Arial" w:hAnsi="Arial" w:cs="Arial"/>
          <w:sz w:val="24"/>
          <w:szCs w:val="24"/>
        </w:rPr>
        <w:t xml:space="preserve">Among the 323 included patients, 86.7% were underweight, 54.5% were moderate to severe anemic and 60% were hypoproteinaemic at the time of starting </w:t>
      </w:r>
      <w:r w:rsidR="00EB7211" w:rsidRPr="00E41BE6">
        <w:rPr>
          <w:rFonts w:ascii="Arial" w:hAnsi="Arial" w:cs="Arial"/>
          <w:sz w:val="24"/>
          <w:szCs w:val="24"/>
        </w:rPr>
        <w:t>treatment</w:t>
      </w:r>
      <w:r w:rsidRPr="00E41BE6">
        <w:rPr>
          <w:rFonts w:ascii="Arial" w:hAnsi="Arial" w:cs="Arial"/>
          <w:sz w:val="24"/>
          <w:szCs w:val="24"/>
        </w:rPr>
        <w:t xml:space="preserve"> for MDR tuberculosis. </w:t>
      </w:r>
      <w:r w:rsidR="009077CD" w:rsidRPr="00E41BE6">
        <w:rPr>
          <w:rFonts w:ascii="Arial" w:hAnsi="Arial" w:cs="Arial"/>
          <w:sz w:val="24"/>
          <w:szCs w:val="24"/>
        </w:rPr>
        <w:t xml:space="preserve">Outcome of treatment was unsuccessful in </w:t>
      </w:r>
      <w:r w:rsidRPr="00E41BE6">
        <w:rPr>
          <w:rFonts w:ascii="Arial" w:hAnsi="Arial" w:cs="Arial"/>
          <w:sz w:val="24"/>
          <w:szCs w:val="24"/>
        </w:rPr>
        <w:t>6</w:t>
      </w:r>
      <w:r w:rsidR="00512B87">
        <w:rPr>
          <w:rFonts w:ascii="Arial" w:hAnsi="Arial" w:cs="Arial"/>
          <w:sz w:val="24"/>
          <w:szCs w:val="24"/>
        </w:rPr>
        <w:t>2</w:t>
      </w:r>
      <w:r w:rsidRPr="00E41BE6">
        <w:rPr>
          <w:rFonts w:ascii="Arial" w:hAnsi="Arial" w:cs="Arial"/>
          <w:sz w:val="24"/>
          <w:szCs w:val="24"/>
        </w:rPr>
        <w:t xml:space="preserve">% </w:t>
      </w:r>
      <w:r w:rsidR="009077CD" w:rsidRPr="00E41BE6">
        <w:rPr>
          <w:rFonts w:ascii="Arial" w:hAnsi="Arial" w:cs="Arial"/>
          <w:sz w:val="24"/>
          <w:szCs w:val="24"/>
        </w:rPr>
        <w:t xml:space="preserve">of the patients with all cause mortality </w:t>
      </w:r>
      <w:r w:rsidRPr="00E41BE6">
        <w:rPr>
          <w:rFonts w:ascii="Arial" w:hAnsi="Arial" w:cs="Arial"/>
          <w:sz w:val="24"/>
          <w:szCs w:val="24"/>
        </w:rPr>
        <w:t xml:space="preserve">28.5% </w:t>
      </w:r>
      <w:r w:rsidR="009077CD" w:rsidRPr="00E41BE6">
        <w:rPr>
          <w:rFonts w:ascii="Arial" w:hAnsi="Arial" w:cs="Arial"/>
          <w:sz w:val="24"/>
          <w:szCs w:val="24"/>
        </w:rPr>
        <w:t>during the treatment period.</w:t>
      </w:r>
      <w:r w:rsidR="00C14411" w:rsidRPr="00E41BE6">
        <w:rPr>
          <w:rFonts w:ascii="Arial" w:hAnsi="Arial" w:cs="Arial"/>
          <w:sz w:val="24"/>
          <w:szCs w:val="24"/>
        </w:rPr>
        <w:t xml:space="preserve"> </w:t>
      </w:r>
      <w:r w:rsidR="00B22428" w:rsidRPr="00E41BE6">
        <w:rPr>
          <w:rFonts w:ascii="Arial" w:hAnsi="Arial" w:cs="Arial"/>
          <w:sz w:val="24"/>
          <w:szCs w:val="24"/>
        </w:rPr>
        <w:t xml:space="preserve">Variables </w:t>
      </w:r>
      <w:r w:rsidR="00B22428" w:rsidRPr="00E41BE6">
        <w:rPr>
          <w:rFonts w:ascii="Arial" w:hAnsi="Arial" w:cs="Arial"/>
          <w:color w:val="000000"/>
          <w:sz w:val="24"/>
          <w:szCs w:val="24"/>
        </w:rPr>
        <w:t xml:space="preserve">identified as risk factors were BMI, extreme age, Sex, Serum Protein, </w:t>
      </w:r>
      <w:proofErr w:type="spellStart"/>
      <w:r w:rsidR="00B22428" w:rsidRPr="00E41BE6">
        <w:rPr>
          <w:rFonts w:ascii="Arial" w:hAnsi="Arial" w:cs="Arial"/>
          <w:color w:val="000000"/>
          <w:sz w:val="24"/>
          <w:szCs w:val="24"/>
        </w:rPr>
        <w:t>Hb</w:t>
      </w:r>
      <w:proofErr w:type="spellEnd"/>
      <w:r w:rsidR="00B22428" w:rsidRPr="00E41BE6">
        <w:rPr>
          <w:rFonts w:ascii="Arial" w:hAnsi="Arial" w:cs="Arial"/>
          <w:color w:val="000000"/>
          <w:sz w:val="24"/>
          <w:szCs w:val="24"/>
        </w:rPr>
        <w:t xml:space="preserve"> level and type of prior </w:t>
      </w:r>
      <w:proofErr w:type="spellStart"/>
      <w:r w:rsidR="00B22428" w:rsidRPr="00E41BE6">
        <w:rPr>
          <w:rFonts w:ascii="Arial" w:hAnsi="Arial" w:cs="Arial"/>
          <w:color w:val="000000"/>
          <w:sz w:val="24"/>
          <w:szCs w:val="24"/>
        </w:rPr>
        <w:t>antitubercular</w:t>
      </w:r>
      <w:proofErr w:type="spellEnd"/>
      <w:r w:rsidR="00B22428" w:rsidRPr="00E41BE6">
        <w:rPr>
          <w:rFonts w:ascii="Arial" w:hAnsi="Arial" w:cs="Arial"/>
          <w:color w:val="000000"/>
          <w:sz w:val="24"/>
          <w:szCs w:val="24"/>
        </w:rPr>
        <w:t xml:space="preserve"> treatment. </w:t>
      </w:r>
    </w:p>
    <w:p w:rsidR="00C14411" w:rsidRPr="00E41BE6" w:rsidRDefault="00C14411" w:rsidP="00E41BE6">
      <w:pPr>
        <w:spacing w:line="360" w:lineRule="auto"/>
        <w:rPr>
          <w:rFonts w:ascii="Arial" w:hAnsi="Arial" w:cs="Arial"/>
          <w:sz w:val="24"/>
          <w:szCs w:val="24"/>
        </w:rPr>
      </w:pPr>
      <w:r w:rsidRPr="00E41BE6">
        <w:rPr>
          <w:rFonts w:ascii="Arial" w:hAnsi="Arial" w:cs="Arial"/>
          <w:sz w:val="24"/>
          <w:szCs w:val="24"/>
        </w:rPr>
        <w:t>Underweight patients were at greater risk of un</w:t>
      </w:r>
      <w:r w:rsidR="000C419F" w:rsidRPr="00E41BE6">
        <w:rPr>
          <w:rFonts w:ascii="Arial" w:hAnsi="Arial" w:cs="Arial"/>
          <w:sz w:val="24"/>
          <w:szCs w:val="24"/>
        </w:rPr>
        <w:t xml:space="preserve">successful </w:t>
      </w:r>
      <w:r w:rsidRPr="00E41BE6">
        <w:rPr>
          <w:rFonts w:ascii="Arial" w:hAnsi="Arial" w:cs="Arial"/>
          <w:sz w:val="24"/>
          <w:szCs w:val="24"/>
        </w:rPr>
        <w:t xml:space="preserve">treatment outcome </w:t>
      </w:r>
      <w:r w:rsidR="000C419F" w:rsidRPr="00E41BE6">
        <w:rPr>
          <w:rFonts w:ascii="Arial" w:hAnsi="Arial" w:cs="Arial"/>
          <w:sz w:val="24"/>
          <w:szCs w:val="24"/>
        </w:rPr>
        <w:t>with A</w:t>
      </w:r>
      <w:r w:rsidRPr="00E41BE6">
        <w:rPr>
          <w:rFonts w:ascii="Arial" w:hAnsi="Arial" w:cs="Arial"/>
          <w:sz w:val="24"/>
          <w:szCs w:val="24"/>
        </w:rPr>
        <w:t>OR</w:t>
      </w:r>
      <w:r w:rsidR="000C419F" w:rsidRPr="00E41BE6">
        <w:rPr>
          <w:rFonts w:ascii="Arial" w:hAnsi="Arial" w:cs="Arial"/>
          <w:sz w:val="24"/>
          <w:szCs w:val="24"/>
        </w:rPr>
        <w:t xml:space="preserve"> 1.17(95% CI 1.06,</w:t>
      </w:r>
      <w:r w:rsidR="00E41BE6" w:rsidRPr="00E41BE6">
        <w:rPr>
          <w:rFonts w:ascii="Arial" w:hAnsi="Arial" w:cs="Arial"/>
          <w:sz w:val="24"/>
          <w:szCs w:val="24"/>
        </w:rPr>
        <w:t xml:space="preserve"> </w:t>
      </w:r>
      <w:r w:rsidR="000C419F" w:rsidRPr="00E41BE6">
        <w:rPr>
          <w:rFonts w:ascii="Arial" w:hAnsi="Arial" w:cs="Arial"/>
          <w:sz w:val="24"/>
          <w:szCs w:val="24"/>
        </w:rPr>
        <w:t xml:space="preserve">1.28, P&lt;0.0001) </w:t>
      </w:r>
      <w:r w:rsidRPr="00E41BE6">
        <w:rPr>
          <w:rFonts w:ascii="Arial" w:hAnsi="Arial" w:cs="Arial"/>
          <w:sz w:val="24"/>
          <w:szCs w:val="24"/>
        </w:rPr>
        <w:t xml:space="preserve">and </w:t>
      </w:r>
      <w:r w:rsidR="00E41BE6" w:rsidRPr="00E41BE6">
        <w:rPr>
          <w:rFonts w:ascii="Arial" w:hAnsi="Arial" w:cs="Arial"/>
          <w:sz w:val="24"/>
          <w:szCs w:val="24"/>
        </w:rPr>
        <w:t xml:space="preserve">mortality </w:t>
      </w:r>
      <w:r w:rsidR="00FA7C40" w:rsidRPr="00E41BE6">
        <w:rPr>
          <w:rFonts w:ascii="Arial" w:hAnsi="Arial" w:cs="Arial"/>
          <w:sz w:val="24"/>
          <w:szCs w:val="24"/>
        </w:rPr>
        <w:t>AOR 1.34</w:t>
      </w:r>
      <w:r w:rsidRPr="00E41BE6">
        <w:rPr>
          <w:rFonts w:ascii="Arial" w:hAnsi="Arial" w:cs="Arial"/>
          <w:sz w:val="24"/>
          <w:szCs w:val="24"/>
        </w:rPr>
        <w:t>(</w:t>
      </w:r>
      <w:r w:rsidR="00FA7C40" w:rsidRPr="00E41BE6">
        <w:rPr>
          <w:rFonts w:ascii="Arial" w:hAnsi="Arial" w:cs="Arial"/>
          <w:sz w:val="24"/>
          <w:szCs w:val="24"/>
        </w:rPr>
        <w:t>95% CI 1.18</w:t>
      </w:r>
      <w:r w:rsidR="0046775B" w:rsidRPr="00E41BE6">
        <w:rPr>
          <w:rFonts w:ascii="Arial" w:hAnsi="Arial" w:cs="Arial"/>
          <w:sz w:val="24"/>
          <w:szCs w:val="24"/>
        </w:rPr>
        <w:t>, 1.52</w:t>
      </w:r>
      <w:r w:rsidR="00512B87">
        <w:rPr>
          <w:rFonts w:ascii="Arial" w:hAnsi="Arial" w:cs="Arial"/>
          <w:sz w:val="24"/>
          <w:szCs w:val="24"/>
        </w:rPr>
        <w:t xml:space="preserve"> P&lt;0.0001</w:t>
      </w:r>
      <w:r w:rsidR="00FA7C40" w:rsidRPr="00E41BE6">
        <w:rPr>
          <w:rFonts w:ascii="Arial" w:hAnsi="Arial" w:cs="Arial"/>
          <w:sz w:val="24"/>
          <w:szCs w:val="24"/>
        </w:rPr>
        <w:t xml:space="preserve">) </w:t>
      </w:r>
      <w:r w:rsidRPr="00E41BE6">
        <w:rPr>
          <w:rFonts w:ascii="Arial" w:hAnsi="Arial" w:cs="Arial"/>
          <w:sz w:val="24"/>
          <w:szCs w:val="24"/>
        </w:rPr>
        <w:t xml:space="preserve">compared to those with normal weight. </w:t>
      </w:r>
      <w:r w:rsidR="005032EE" w:rsidRPr="00E41BE6">
        <w:rPr>
          <w:rFonts w:ascii="Arial" w:hAnsi="Arial" w:cs="Arial"/>
          <w:sz w:val="24"/>
          <w:szCs w:val="24"/>
        </w:rPr>
        <w:t>Risk of all cause mortality further increases significantly among p</w:t>
      </w:r>
      <w:r w:rsidR="006C48D5" w:rsidRPr="00E41BE6">
        <w:rPr>
          <w:rFonts w:ascii="Arial" w:hAnsi="Arial" w:cs="Arial"/>
          <w:sz w:val="24"/>
          <w:szCs w:val="24"/>
        </w:rPr>
        <w:t xml:space="preserve">atient with severe </w:t>
      </w:r>
      <w:r w:rsidR="00EB7211" w:rsidRPr="00E41BE6">
        <w:rPr>
          <w:rFonts w:ascii="Arial" w:hAnsi="Arial" w:cs="Arial"/>
          <w:sz w:val="24"/>
          <w:szCs w:val="24"/>
        </w:rPr>
        <w:t>malnourishment</w:t>
      </w:r>
      <w:r w:rsidR="006C48D5" w:rsidRPr="00E41BE6">
        <w:rPr>
          <w:rFonts w:ascii="Arial" w:hAnsi="Arial" w:cs="Arial"/>
          <w:sz w:val="24"/>
          <w:szCs w:val="24"/>
        </w:rPr>
        <w:t xml:space="preserve"> </w:t>
      </w:r>
      <w:r w:rsidR="00E41BE6" w:rsidRPr="00E41BE6">
        <w:rPr>
          <w:rFonts w:ascii="Arial" w:hAnsi="Arial" w:cs="Arial"/>
          <w:sz w:val="24"/>
          <w:szCs w:val="24"/>
        </w:rPr>
        <w:t xml:space="preserve">crude </w:t>
      </w:r>
      <w:r w:rsidR="006C48D5" w:rsidRPr="00E41BE6">
        <w:rPr>
          <w:rFonts w:ascii="Arial" w:hAnsi="Arial" w:cs="Arial"/>
          <w:sz w:val="24"/>
          <w:szCs w:val="24"/>
        </w:rPr>
        <w:t>OR 5.03 (95% CI 2.42,</w:t>
      </w:r>
      <w:r w:rsidR="0046775B">
        <w:rPr>
          <w:rFonts w:ascii="Arial" w:hAnsi="Arial" w:cs="Arial"/>
          <w:sz w:val="24"/>
          <w:szCs w:val="24"/>
        </w:rPr>
        <w:t xml:space="preserve"> </w:t>
      </w:r>
      <w:r w:rsidR="006C48D5" w:rsidRPr="00E41BE6">
        <w:rPr>
          <w:rFonts w:ascii="Arial" w:hAnsi="Arial" w:cs="Arial"/>
          <w:sz w:val="24"/>
          <w:szCs w:val="24"/>
        </w:rPr>
        <w:t xml:space="preserve">10.48 P&lt;0.0001) </w:t>
      </w:r>
    </w:p>
    <w:p w:rsidR="00C14411" w:rsidRPr="00E41BE6" w:rsidRDefault="00125C2B" w:rsidP="00E41BE6">
      <w:pPr>
        <w:spacing w:line="360" w:lineRule="auto"/>
        <w:rPr>
          <w:rFonts w:ascii="Arial" w:hAnsi="Arial" w:cs="Arial"/>
          <w:sz w:val="24"/>
          <w:szCs w:val="24"/>
        </w:rPr>
      </w:pPr>
      <w:r w:rsidRPr="00E41BE6">
        <w:rPr>
          <w:rFonts w:ascii="Arial" w:hAnsi="Arial" w:cs="Arial"/>
          <w:sz w:val="24"/>
          <w:szCs w:val="24"/>
        </w:rPr>
        <w:t>Adequate n</w:t>
      </w:r>
      <w:r w:rsidR="00C14411" w:rsidRPr="00E41BE6">
        <w:rPr>
          <w:rFonts w:ascii="Arial" w:hAnsi="Arial" w:cs="Arial"/>
          <w:sz w:val="24"/>
          <w:szCs w:val="24"/>
        </w:rPr>
        <w:t xml:space="preserve">utritional supplementation as an adjuvant to </w:t>
      </w:r>
      <w:proofErr w:type="spellStart"/>
      <w:r w:rsidR="00C14411" w:rsidRPr="00E41BE6">
        <w:rPr>
          <w:rFonts w:ascii="Arial" w:hAnsi="Arial" w:cs="Arial"/>
          <w:sz w:val="24"/>
          <w:szCs w:val="24"/>
        </w:rPr>
        <w:t>antitubercular</w:t>
      </w:r>
      <w:proofErr w:type="spellEnd"/>
      <w:r w:rsidR="00C14411" w:rsidRPr="00E41BE6">
        <w:rPr>
          <w:rFonts w:ascii="Arial" w:hAnsi="Arial" w:cs="Arial"/>
          <w:sz w:val="24"/>
          <w:szCs w:val="24"/>
        </w:rPr>
        <w:t xml:space="preserve"> therapy should be considered for high risk patient population to overall increase outcome of treatment and mortality rate among MDR TB patients. </w:t>
      </w:r>
    </w:p>
    <w:sectPr w:rsidR="00C14411" w:rsidRPr="00E41BE6" w:rsidSect="00C62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9077CD"/>
    <w:rsid w:val="000543D1"/>
    <w:rsid w:val="000C419F"/>
    <w:rsid w:val="00125C2B"/>
    <w:rsid w:val="00153D22"/>
    <w:rsid w:val="003A40ED"/>
    <w:rsid w:val="0046775B"/>
    <w:rsid w:val="005032EE"/>
    <w:rsid w:val="00512B87"/>
    <w:rsid w:val="006C48D5"/>
    <w:rsid w:val="009077CD"/>
    <w:rsid w:val="00B22428"/>
    <w:rsid w:val="00C14411"/>
    <w:rsid w:val="00C551DA"/>
    <w:rsid w:val="00C62DB6"/>
    <w:rsid w:val="00C95626"/>
    <w:rsid w:val="00E41BE6"/>
    <w:rsid w:val="00EB7211"/>
    <w:rsid w:val="00F560E3"/>
    <w:rsid w:val="00FA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D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2018-04-03T11:18:00Z</cp:lastPrinted>
  <dcterms:created xsi:type="dcterms:W3CDTF">2018-04-02T11:24:00Z</dcterms:created>
  <dcterms:modified xsi:type="dcterms:W3CDTF">2018-04-04T05:47:00Z</dcterms:modified>
</cp:coreProperties>
</file>