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D0293" w14:textId="5ECD811E" w:rsidR="004951B9" w:rsidRPr="00D70449" w:rsidRDefault="004951B9" w:rsidP="003A22F4">
      <w:pPr>
        <w:rPr>
          <w:rFonts w:ascii="Arial" w:hAnsi="Arial" w:cs="Arial"/>
          <w:b/>
          <w:bCs/>
        </w:rPr>
      </w:pPr>
      <w:r w:rsidRPr="00152383">
        <w:rPr>
          <w:rFonts w:ascii="Arial" w:hAnsi="Arial" w:cs="Arial"/>
          <w:b/>
          <w:bCs/>
          <w:color w:val="000000" w:themeColor="text1"/>
        </w:rPr>
        <w:t xml:space="preserve">Title: Bloodstream infection rates </w:t>
      </w:r>
      <w:r w:rsidRPr="00D70449">
        <w:rPr>
          <w:rFonts w:ascii="Arial" w:hAnsi="Arial" w:cs="Arial"/>
          <w:b/>
          <w:bCs/>
        </w:rPr>
        <w:t xml:space="preserve">and their association with </w:t>
      </w:r>
      <w:r w:rsidR="00D12381" w:rsidRPr="00D70449">
        <w:rPr>
          <w:rFonts w:ascii="Arial" w:hAnsi="Arial" w:cs="Arial"/>
          <w:b/>
          <w:bCs/>
        </w:rPr>
        <w:t xml:space="preserve">differently designed needle-free </w:t>
      </w:r>
      <w:r w:rsidRPr="00D70449">
        <w:rPr>
          <w:rFonts w:ascii="Arial" w:hAnsi="Arial" w:cs="Arial"/>
          <w:b/>
          <w:bCs/>
        </w:rPr>
        <w:t>connector</w:t>
      </w:r>
      <w:r w:rsidR="00D12381" w:rsidRPr="00D70449">
        <w:rPr>
          <w:rFonts w:ascii="Arial" w:hAnsi="Arial" w:cs="Arial"/>
          <w:b/>
          <w:bCs/>
        </w:rPr>
        <w:t>s</w:t>
      </w:r>
      <w:r w:rsidRPr="00D70449">
        <w:rPr>
          <w:rFonts w:ascii="Arial" w:hAnsi="Arial" w:cs="Arial"/>
          <w:b/>
          <w:bCs/>
        </w:rPr>
        <w:t>.</w:t>
      </w:r>
    </w:p>
    <w:p w14:paraId="1BF89C85" w14:textId="77777777" w:rsidR="0065053B" w:rsidRPr="001D1A10" w:rsidRDefault="0065053B" w:rsidP="003A22F4">
      <w:pPr>
        <w:rPr>
          <w:rFonts w:ascii="Arial" w:hAnsi="Arial" w:cs="Arial"/>
          <w:color w:val="000000" w:themeColor="text1"/>
        </w:rPr>
      </w:pPr>
    </w:p>
    <w:p w14:paraId="2B994900" w14:textId="77777777" w:rsidR="004951B9" w:rsidRPr="00152383" w:rsidRDefault="00152383" w:rsidP="003A22F4">
      <w:pPr>
        <w:rPr>
          <w:rFonts w:ascii="Arial" w:hAnsi="Arial" w:cs="Arial"/>
          <w:b/>
          <w:bCs/>
          <w:color w:val="000000" w:themeColor="text1"/>
        </w:rPr>
      </w:pPr>
      <w:r w:rsidRPr="00152383">
        <w:rPr>
          <w:rFonts w:ascii="Arial" w:hAnsi="Arial" w:cs="Arial"/>
          <w:b/>
          <w:bCs/>
          <w:color w:val="000000" w:themeColor="text1"/>
        </w:rPr>
        <w:t xml:space="preserve">Author: </w:t>
      </w:r>
      <w:r w:rsidR="0065053B" w:rsidRPr="00152383">
        <w:rPr>
          <w:rFonts w:ascii="Arial" w:hAnsi="Arial" w:cs="Arial"/>
          <w:b/>
          <w:bCs/>
          <w:color w:val="000000" w:themeColor="text1"/>
        </w:rPr>
        <w:t>Dr. Victor D. Rosenthal, MD, CIC, MSc. INICC Chairman.</w:t>
      </w:r>
    </w:p>
    <w:p w14:paraId="32923EB2" w14:textId="77777777" w:rsidR="0065053B" w:rsidRPr="001D1A10" w:rsidRDefault="0065053B" w:rsidP="003A22F4">
      <w:pPr>
        <w:rPr>
          <w:rFonts w:ascii="Arial" w:hAnsi="Arial" w:cs="Arial"/>
          <w:color w:val="000000" w:themeColor="text1"/>
        </w:rPr>
      </w:pPr>
    </w:p>
    <w:p w14:paraId="6573A6D0" w14:textId="632C3A19" w:rsidR="00ED263F" w:rsidRPr="001D1A10" w:rsidRDefault="00ED263F" w:rsidP="00533F39">
      <w:pPr>
        <w:rPr>
          <w:rFonts w:ascii="Arial" w:hAnsi="Arial" w:cs="Arial"/>
        </w:rPr>
      </w:pPr>
      <w:r w:rsidRPr="001D1A10">
        <w:rPr>
          <w:rFonts w:ascii="Arial" w:hAnsi="Arial" w:cs="Arial"/>
          <w:color w:val="000000" w:themeColor="text1"/>
        </w:rPr>
        <w:t xml:space="preserve">During 6-year study period, from January 2012-December 2017, in 523 intensive care units (ICUs) in 45 countries from Latin America, Europe, Eastern Mediterranean, Southeast Asia, and Western Pacific, prospective data from 532,483 ICU patients hospitalized in 242 hospitals, members of International Nosocomial Infection Control Consortium (INICC), for an aggregate of 2,197,304 patient days, were collected through INICC Surveillance Online System (ISOS). US CDC-NHSN definitions for </w:t>
      </w:r>
      <w:r w:rsidR="007A07A9" w:rsidRPr="001D1A10">
        <w:rPr>
          <w:rFonts w:ascii="Arial" w:hAnsi="Arial" w:cs="Arial"/>
        </w:rPr>
        <w:t xml:space="preserve">central line associated bloodstream infection (CLAB) </w:t>
      </w:r>
      <w:r w:rsidRPr="001D1A10">
        <w:rPr>
          <w:rFonts w:ascii="Arial" w:hAnsi="Arial" w:cs="Arial"/>
          <w:color w:val="000000" w:themeColor="text1"/>
        </w:rPr>
        <w:t xml:space="preserve">were applied. </w:t>
      </w:r>
      <w:r w:rsidR="004951B9" w:rsidRPr="001D1A10">
        <w:rPr>
          <w:rFonts w:ascii="Arial" w:hAnsi="Arial" w:cs="Arial"/>
          <w:color w:val="000000" w:themeColor="text1"/>
        </w:rPr>
        <w:t>I</w:t>
      </w:r>
      <w:r w:rsidRPr="001D1A10">
        <w:rPr>
          <w:rFonts w:ascii="Arial" w:hAnsi="Arial" w:cs="Arial"/>
          <w:color w:val="000000" w:themeColor="text1"/>
        </w:rPr>
        <w:t xml:space="preserve">n the medical-surgical ICUs of INICC, the pooled </w:t>
      </w:r>
      <w:r w:rsidR="007A07A9" w:rsidRPr="001D1A10">
        <w:rPr>
          <w:rFonts w:ascii="Arial" w:hAnsi="Arial" w:cs="Arial"/>
          <w:color w:val="000000" w:themeColor="text1"/>
        </w:rPr>
        <w:t>CLAB</w:t>
      </w:r>
      <w:r w:rsidRPr="001D1A10">
        <w:rPr>
          <w:rFonts w:ascii="Arial" w:hAnsi="Arial" w:cs="Arial"/>
          <w:color w:val="000000" w:themeColor="text1"/>
        </w:rPr>
        <w:t xml:space="preserve"> rate was 5.05 </w:t>
      </w:r>
      <w:r w:rsidR="004951B9" w:rsidRPr="001D1A10">
        <w:rPr>
          <w:rFonts w:ascii="Arial" w:hAnsi="Arial" w:cs="Arial"/>
          <w:color w:val="000000" w:themeColor="text1"/>
        </w:rPr>
        <w:t>and in US ICUs was</w:t>
      </w:r>
      <w:r w:rsidRPr="001D1A10">
        <w:rPr>
          <w:rFonts w:ascii="Arial" w:hAnsi="Arial" w:cs="Arial"/>
          <w:color w:val="000000" w:themeColor="text1"/>
        </w:rPr>
        <w:t xml:space="preserve"> 0.8 per 1,000 central line-days. </w:t>
      </w:r>
      <w:r w:rsidR="00533F39">
        <w:rPr>
          <w:rFonts w:ascii="Arial" w:hAnsi="Arial" w:cs="Arial"/>
          <w:color w:val="000000" w:themeColor="text1"/>
        </w:rPr>
        <w:t xml:space="preserve"> </w:t>
      </w:r>
      <w:r w:rsidRPr="001D1A10">
        <w:rPr>
          <w:rFonts w:ascii="Arial" w:hAnsi="Arial" w:cs="Arial"/>
          <w:color w:val="000000" w:themeColor="text1"/>
        </w:rPr>
        <w:t xml:space="preserve">During 6-year study period, from </w:t>
      </w:r>
      <w:r w:rsidRPr="001D1A10">
        <w:rPr>
          <w:rFonts w:ascii="Arial" w:hAnsi="Arial" w:cs="Arial"/>
        </w:rPr>
        <w:t>September 1</w:t>
      </w:r>
      <w:r w:rsidRPr="001D1A10">
        <w:rPr>
          <w:rFonts w:ascii="Arial" w:hAnsi="Arial" w:cs="Arial"/>
          <w:vertAlign w:val="superscript"/>
        </w:rPr>
        <w:t>st</w:t>
      </w:r>
      <w:r w:rsidRPr="001D1A10">
        <w:rPr>
          <w:rFonts w:ascii="Arial" w:hAnsi="Arial" w:cs="Arial"/>
        </w:rPr>
        <w:t>, 2013 to 31</w:t>
      </w:r>
      <w:r w:rsidRPr="001D1A10">
        <w:rPr>
          <w:rFonts w:ascii="Arial" w:hAnsi="Arial" w:cs="Arial"/>
          <w:vertAlign w:val="superscript"/>
        </w:rPr>
        <w:t>st</w:t>
      </w:r>
      <w:r w:rsidRPr="001D1A10">
        <w:rPr>
          <w:rFonts w:ascii="Arial" w:hAnsi="Arial" w:cs="Arial"/>
        </w:rPr>
        <w:t xml:space="preserve"> May, 2019, a prospective, surveillance study on peripheral </w:t>
      </w:r>
      <w:r w:rsidR="007A07A9" w:rsidRPr="001D1A10">
        <w:rPr>
          <w:rFonts w:ascii="Arial" w:hAnsi="Arial" w:cs="Arial"/>
        </w:rPr>
        <w:t xml:space="preserve">line associated BSI (PLAB) </w:t>
      </w:r>
      <w:r w:rsidRPr="001D1A10">
        <w:rPr>
          <w:rFonts w:ascii="Arial" w:hAnsi="Arial" w:cs="Arial"/>
        </w:rPr>
        <w:t xml:space="preserve">conducted by INICC, in 727 ICUs, from 268 hospitals in 141 cities of 42 countries of </w:t>
      </w:r>
      <w:r w:rsidRPr="001D1A10">
        <w:rPr>
          <w:rFonts w:ascii="Arial" w:eastAsia="SimSun" w:hAnsi="Arial" w:cs="Arial"/>
          <w:lang w:eastAsia="zh-CN"/>
        </w:rPr>
        <w:t xml:space="preserve">Africa, the Americas, </w:t>
      </w:r>
      <w:r w:rsidRPr="001D1A10">
        <w:rPr>
          <w:rFonts w:ascii="Arial" w:hAnsi="Arial" w:cs="Arial"/>
        </w:rPr>
        <w:t xml:space="preserve">Eastern Mediterranean, </w:t>
      </w:r>
      <w:r w:rsidRPr="001D1A10">
        <w:rPr>
          <w:rFonts w:ascii="Arial" w:eastAsia="SimSun" w:hAnsi="Arial" w:cs="Arial"/>
          <w:lang w:eastAsia="zh-CN"/>
        </w:rPr>
        <w:t xml:space="preserve">Europe, </w:t>
      </w:r>
      <w:r w:rsidRPr="001D1A10">
        <w:rPr>
          <w:rFonts w:ascii="Arial" w:hAnsi="Arial" w:cs="Arial"/>
        </w:rPr>
        <w:t>South East Asia, and Western Pacific regions. We</w:t>
      </w:r>
      <w:r w:rsidR="0065053B" w:rsidRPr="001D1A10">
        <w:rPr>
          <w:rFonts w:ascii="Arial" w:hAnsi="Arial" w:cs="Arial"/>
        </w:rPr>
        <w:t>re</w:t>
      </w:r>
      <w:r w:rsidRPr="001D1A10">
        <w:rPr>
          <w:rFonts w:ascii="Arial" w:hAnsi="Arial" w:cs="Arial"/>
        </w:rPr>
        <w:t xml:space="preserve"> followed 149,609 ICU patients for 731,135 bed-days and 743,508 </w:t>
      </w:r>
      <w:r w:rsidR="007A07A9" w:rsidRPr="001D1A10">
        <w:rPr>
          <w:rFonts w:ascii="Arial" w:hAnsi="Arial" w:cs="Arial"/>
        </w:rPr>
        <w:t xml:space="preserve">peripheral line (PL) </w:t>
      </w:r>
      <w:r w:rsidRPr="001D1A10">
        <w:rPr>
          <w:rFonts w:ascii="Arial" w:hAnsi="Arial" w:cs="Arial"/>
        </w:rPr>
        <w:t>-days. We</w:t>
      </w:r>
      <w:r w:rsidR="0065053B" w:rsidRPr="001D1A10">
        <w:rPr>
          <w:rFonts w:ascii="Arial" w:hAnsi="Arial" w:cs="Arial"/>
        </w:rPr>
        <w:t>re</w:t>
      </w:r>
      <w:r w:rsidRPr="001D1A10">
        <w:rPr>
          <w:rFonts w:ascii="Arial" w:hAnsi="Arial" w:cs="Arial"/>
        </w:rPr>
        <w:t xml:space="preserve"> identified 1,789 P</w:t>
      </w:r>
      <w:r w:rsidR="007A07A9" w:rsidRPr="001D1A10">
        <w:rPr>
          <w:rFonts w:ascii="Arial" w:hAnsi="Arial" w:cs="Arial"/>
        </w:rPr>
        <w:t>LAB</w:t>
      </w:r>
      <w:r w:rsidRPr="001D1A10">
        <w:rPr>
          <w:rFonts w:ascii="Arial" w:hAnsi="Arial" w:cs="Arial"/>
        </w:rPr>
        <w:t>s, amounting to a rate of 2.41</w:t>
      </w:r>
      <w:r w:rsidRPr="001D1A10">
        <w:rPr>
          <w:rFonts w:ascii="Arial" w:hAnsi="Arial" w:cs="Arial"/>
          <w:lang w:val="en-GB" w:eastAsia="es-AR"/>
        </w:rPr>
        <w:t xml:space="preserve">/1000 </w:t>
      </w:r>
      <w:r w:rsidR="007A07A9" w:rsidRPr="001D1A10">
        <w:rPr>
          <w:rFonts w:ascii="Arial" w:hAnsi="Arial" w:cs="Arial"/>
          <w:lang w:val="en-GB" w:eastAsia="es-AR"/>
        </w:rPr>
        <w:t>PL</w:t>
      </w:r>
      <w:r w:rsidRPr="001D1A10">
        <w:rPr>
          <w:rFonts w:ascii="Arial" w:hAnsi="Arial" w:cs="Arial"/>
          <w:lang w:val="en-GB" w:eastAsia="es-AR"/>
        </w:rPr>
        <w:t>-days</w:t>
      </w:r>
      <w:r w:rsidRPr="001D1A10">
        <w:rPr>
          <w:rFonts w:ascii="Arial" w:hAnsi="Arial" w:cs="Arial"/>
        </w:rPr>
        <w:t>. Mortality in patients with P</w:t>
      </w:r>
      <w:r w:rsidR="007A07A9" w:rsidRPr="001D1A10">
        <w:rPr>
          <w:rFonts w:ascii="Arial" w:hAnsi="Arial" w:cs="Arial"/>
        </w:rPr>
        <w:t>L</w:t>
      </w:r>
      <w:r w:rsidRPr="001D1A10">
        <w:rPr>
          <w:rFonts w:ascii="Arial" w:hAnsi="Arial" w:cs="Arial"/>
        </w:rPr>
        <w:t xml:space="preserve"> but without P</w:t>
      </w:r>
      <w:r w:rsidR="007A07A9" w:rsidRPr="001D1A10">
        <w:rPr>
          <w:rFonts w:ascii="Arial" w:hAnsi="Arial" w:cs="Arial"/>
        </w:rPr>
        <w:t>LAB</w:t>
      </w:r>
      <w:r w:rsidRPr="001D1A10">
        <w:rPr>
          <w:rFonts w:ascii="Arial" w:hAnsi="Arial" w:cs="Arial"/>
        </w:rPr>
        <w:t xml:space="preserve"> was 6.6</w:t>
      </w:r>
      <w:bookmarkStart w:id="0" w:name="_GoBack"/>
      <w:bookmarkEnd w:id="0"/>
      <w:r w:rsidRPr="001D1A10">
        <w:rPr>
          <w:rFonts w:ascii="Arial" w:hAnsi="Arial" w:cs="Arial"/>
        </w:rPr>
        <w:t>7%, and 18% in patients with P</w:t>
      </w:r>
      <w:r w:rsidR="007A07A9" w:rsidRPr="001D1A10">
        <w:rPr>
          <w:rFonts w:ascii="Arial" w:hAnsi="Arial" w:cs="Arial"/>
        </w:rPr>
        <w:t>L</w:t>
      </w:r>
      <w:r w:rsidRPr="001D1A10">
        <w:rPr>
          <w:rFonts w:ascii="Arial" w:hAnsi="Arial" w:cs="Arial"/>
        </w:rPr>
        <w:t xml:space="preserve"> and with P</w:t>
      </w:r>
      <w:r w:rsidR="007A07A9" w:rsidRPr="001D1A10">
        <w:rPr>
          <w:rFonts w:ascii="Arial" w:hAnsi="Arial" w:cs="Arial"/>
        </w:rPr>
        <w:t>LAB</w:t>
      </w:r>
      <w:r w:rsidRPr="001D1A10">
        <w:rPr>
          <w:rFonts w:ascii="Arial" w:hAnsi="Arial" w:cs="Arial"/>
        </w:rPr>
        <w:t>. The length of stay in patients with P</w:t>
      </w:r>
      <w:r w:rsidR="007A07A9" w:rsidRPr="001D1A10">
        <w:rPr>
          <w:rFonts w:ascii="Arial" w:hAnsi="Arial" w:cs="Arial"/>
        </w:rPr>
        <w:t>L</w:t>
      </w:r>
      <w:r w:rsidRPr="001D1A10">
        <w:rPr>
          <w:rFonts w:ascii="Arial" w:hAnsi="Arial" w:cs="Arial"/>
        </w:rPr>
        <w:t xml:space="preserve"> but without P</w:t>
      </w:r>
      <w:r w:rsidR="007A07A9" w:rsidRPr="001D1A10">
        <w:rPr>
          <w:rFonts w:ascii="Arial" w:hAnsi="Arial" w:cs="Arial"/>
        </w:rPr>
        <w:t>LAB</w:t>
      </w:r>
      <w:r w:rsidRPr="001D1A10">
        <w:rPr>
          <w:rFonts w:ascii="Arial" w:hAnsi="Arial" w:cs="Arial"/>
        </w:rPr>
        <w:t xml:space="preserve"> was 4.83 days, and 9.85 days in patients with P</w:t>
      </w:r>
      <w:r w:rsidR="007A07A9" w:rsidRPr="001D1A10">
        <w:rPr>
          <w:rFonts w:ascii="Arial" w:hAnsi="Arial" w:cs="Arial"/>
        </w:rPr>
        <w:t>L</w:t>
      </w:r>
      <w:r w:rsidRPr="001D1A10">
        <w:rPr>
          <w:rFonts w:ascii="Arial" w:hAnsi="Arial" w:cs="Arial"/>
        </w:rPr>
        <w:t xml:space="preserve"> and P</w:t>
      </w:r>
      <w:r w:rsidR="007A07A9" w:rsidRPr="001D1A10">
        <w:rPr>
          <w:rFonts w:ascii="Arial" w:hAnsi="Arial" w:cs="Arial"/>
        </w:rPr>
        <w:t>LAB</w:t>
      </w:r>
      <w:r w:rsidRPr="001D1A10">
        <w:rPr>
          <w:rFonts w:ascii="Arial" w:hAnsi="Arial" w:cs="Arial"/>
        </w:rPr>
        <w:t>.</w:t>
      </w:r>
      <w:r w:rsidRPr="001D1A10">
        <w:rPr>
          <w:rFonts w:ascii="Arial" w:hAnsi="Arial" w:cs="Arial"/>
          <w:i/>
        </w:rPr>
        <w:t xml:space="preserve"> </w:t>
      </w:r>
      <w:r w:rsidR="0065053B" w:rsidRPr="001D1A10">
        <w:rPr>
          <w:rFonts w:ascii="Arial" w:hAnsi="Arial" w:cs="Arial"/>
        </w:rPr>
        <w:t>B</w:t>
      </w:r>
      <w:r w:rsidR="004951B9" w:rsidRPr="001D1A10">
        <w:rPr>
          <w:rFonts w:ascii="Arial" w:hAnsi="Arial" w:cs="Arial"/>
        </w:rPr>
        <w:t>etween April 2012 and August 2014, a</w:t>
      </w:r>
      <w:r w:rsidR="007A07A9" w:rsidRPr="001D1A10">
        <w:rPr>
          <w:rFonts w:ascii="Arial" w:hAnsi="Arial" w:cs="Arial"/>
        </w:rPr>
        <w:t xml:space="preserve"> </w:t>
      </w:r>
      <w:r w:rsidR="0065053B" w:rsidRPr="001D1A10">
        <w:rPr>
          <w:rFonts w:ascii="Arial" w:hAnsi="Arial" w:cs="Arial"/>
        </w:rPr>
        <w:t>R</w:t>
      </w:r>
      <w:r w:rsidR="007A07A9" w:rsidRPr="001D1A10">
        <w:rPr>
          <w:rFonts w:ascii="Arial" w:hAnsi="Arial" w:cs="Arial"/>
        </w:rPr>
        <w:t xml:space="preserve">andomized </w:t>
      </w:r>
      <w:r w:rsidR="0065053B" w:rsidRPr="001D1A10">
        <w:rPr>
          <w:rFonts w:ascii="Arial" w:hAnsi="Arial" w:cs="Arial"/>
        </w:rPr>
        <w:t>C</w:t>
      </w:r>
      <w:r w:rsidR="007A07A9" w:rsidRPr="001D1A10">
        <w:rPr>
          <w:rFonts w:ascii="Arial" w:hAnsi="Arial" w:cs="Arial"/>
        </w:rPr>
        <w:t xml:space="preserve">linical </w:t>
      </w:r>
      <w:r w:rsidR="0065053B" w:rsidRPr="001D1A10">
        <w:rPr>
          <w:rFonts w:ascii="Arial" w:hAnsi="Arial" w:cs="Arial"/>
        </w:rPr>
        <w:t>Trial</w:t>
      </w:r>
      <w:r w:rsidR="007A07A9" w:rsidRPr="001D1A10">
        <w:rPr>
          <w:rFonts w:ascii="Arial" w:hAnsi="Arial" w:cs="Arial"/>
        </w:rPr>
        <w:t xml:space="preserve"> (RCT) with 1,096 patients in 5 </w:t>
      </w:r>
      <w:r w:rsidR="004951B9" w:rsidRPr="001D1A10">
        <w:rPr>
          <w:rFonts w:ascii="Arial" w:hAnsi="Arial" w:cs="Arial"/>
        </w:rPr>
        <w:t>ICUs</w:t>
      </w:r>
      <w:r w:rsidR="007A07A9" w:rsidRPr="001D1A10">
        <w:rPr>
          <w:rFonts w:ascii="Arial" w:hAnsi="Arial" w:cs="Arial"/>
        </w:rPr>
        <w:t xml:space="preserve"> was conducted in India. We compared N</w:t>
      </w:r>
      <w:r w:rsidR="007A07A9" w:rsidRPr="001D1A10">
        <w:rPr>
          <w:rFonts w:ascii="Arial" w:eastAsia="SimSun" w:hAnsi="Arial" w:cs="Arial"/>
          <w:lang w:eastAsia="zh-CN"/>
        </w:rPr>
        <w:t>eedle-free connectors (NFCs) vs t</w:t>
      </w:r>
      <w:r w:rsidR="007A07A9" w:rsidRPr="001D1A10">
        <w:rPr>
          <w:rFonts w:ascii="Arial" w:hAnsi="Arial" w:cs="Arial"/>
        </w:rPr>
        <w:t xml:space="preserve">hree-way stopcocks (3WSCs) </w:t>
      </w:r>
      <w:r w:rsidRPr="001D1A10">
        <w:rPr>
          <w:rFonts w:ascii="Arial" w:hAnsi="Arial" w:cs="Arial"/>
        </w:rPr>
        <w:t xml:space="preserve">to </w:t>
      </w:r>
      <w:r w:rsidR="007A07A9" w:rsidRPr="001D1A10">
        <w:rPr>
          <w:rFonts w:ascii="Arial" w:hAnsi="Arial" w:cs="Arial"/>
        </w:rPr>
        <w:t>analyze impact on CLAB</w:t>
      </w:r>
      <w:r w:rsidRPr="001D1A10">
        <w:rPr>
          <w:rFonts w:ascii="Arial" w:hAnsi="Arial" w:cs="Arial"/>
        </w:rPr>
        <w:t xml:space="preserve"> </w:t>
      </w:r>
      <w:r w:rsidR="007A07A9" w:rsidRPr="001D1A10">
        <w:rPr>
          <w:rFonts w:ascii="Arial" w:hAnsi="Arial" w:cs="Arial"/>
        </w:rPr>
        <w:t>rates</w:t>
      </w:r>
      <w:r w:rsidRPr="001D1A10">
        <w:rPr>
          <w:rFonts w:ascii="Arial" w:hAnsi="Arial" w:cs="Arial"/>
        </w:rPr>
        <w:t>.</w:t>
      </w:r>
      <w:r w:rsidR="007A07A9" w:rsidRPr="001D1A10">
        <w:rPr>
          <w:rFonts w:ascii="Arial" w:hAnsi="Arial" w:cs="Arial"/>
        </w:rPr>
        <w:t xml:space="preserve"> </w:t>
      </w:r>
      <w:r w:rsidRPr="001D1A10">
        <w:rPr>
          <w:rFonts w:ascii="Arial" w:hAnsi="Arial" w:cs="Arial"/>
        </w:rPr>
        <w:t xml:space="preserve">The study included 547 patients and 3619 central line (CL)-days for the </w:t>
      </w:r>
      <w:r w:rsidR="007A07A9" w:rsidRPr="001D1A10">
        <w:rPr>
          <w:rFonts w:ascii="Arial" w:hAnsi="Arial" w:cs="Arial"/>
        </w:rPr>
        <w:t>NFC</w:t>
      </w:r>
      <w:r w:rsidRPr="001D1A10">
        <w:rPr>
          <w:rFonts w:ascii="Arial" w:hAnsi="Arial" w:cs="Arial"/>
        </w:rPr>
        <w:t xml:space="preserve"> group, and 549 patients and 4061 CL-days for the 3WSC group. CLAB rates w</w:t>
      </w:r>
      <w:r w:rsidR="00352E6F">
        <w:rPr>
          <w:rFonts w:ascii="Arial" w:hAnsi="Arial" w:cs="Arial"/>
        </w:rPr>
        <w:t>ere</w:t>
      </w:r>
      <w:r w:rsidRPr="001D1A10">
        <w:rPr>
          <w:rFonts w:ascii="Arial" w:hAnsi="Arial" w:cs="Arial"/>
        </w:rPr>
        <w:t xml:space="preserve"> 2.21 per 1000 CL-days for </w:t>
      </w:r>
      <w:r w:rsidR="007A07A9" w:rsidRPr="001D1A10">
        <w:rPr>
          <w:rFonts w:ascii="Arial" w:hAnsi="Arial" w:cs="Arial"/>
        </w:rPr>
        <w:t>NFC</w:t>
      </w:r>
      <w:r w:rsidRPr="001D1A10">
        <w:rPr>
          <w:rFonts w:ascii="Arial" w:hAnsi="Arial" w:cs="Arial"/>
        </w:rPr>
        <w:t xml:space="preserve"> and 6.40 per 1000 CL-days for 3WSC (</w:t>
      </w:r>
      <w:r w:rsidR="007A07A9" w:rsidRPr="001D1A10">
        <w:rPr>
          <w:rFonts w:ascii="Arial" w:hAnsi="Arial" w:cs="Arial"/>
        </w:rPr>
        <w:t>RR</w:t>
      </w:r>
      <w:r w:rsidRPr="001D1A10">
        <w:rPr>
          <w:rFonts w:ascii="Arial" w:hAnsi="Arial" w:cs="Arial"/>
        </w:rPr>
        <w:t xml:space="preserve">, 0.35; 95% CI, 0.16-0.76; P </w:t>
      </w:r>
      <w:r w:rsidR="007A07A9" w:rsidRPr="001D1A10">
        <w:rPr>
          <w:rFonts w:ascii="Arial" w:hAnsi="Arial" w:cs="Arial"/>
        </w:rPr>
        <w:t>0</w:t>
      </w:r>
      <w:r w:rsidRPr="001D1A10">
        <w:rPr>
          <w:rFonts w:ascii="Arial" w:hAnsi="Arial" w:cs="Arial"/>
        </w:rPr>
        <w:t xml:space="preserve">.006). Using </w:t>
      </w:r>
      <w:proofErr w:type="gramStart"/>
      <w:r w:rsidRPr="001D1A10">
        <w:rPr>
          <w:rFonts w:ascii="Arial" w:hAnsi="Arial" w:cs="Arial"/>
        </w:rPr>
        <w:t>a</w:t>
      </w:r>
      <w:proofErr w:type="gramEnd"/>
      <w:r w:rsidR="007A07A9" w:rsidRPr="001D1A10">
        <w:rPr>
          <w:rFonts w:ascii="Arial" w:hAnsi="Arial" w:cs="Arial"/>
        </w:rPr>
        <w:t xml:space="preserve"> NFC</w:t>
      </w:r>
      <w:r w:rsidRPr="001D1A10">
        <w:rPr>
          <w:rFonts w:ascii="Arial" w:hAnsi="Arial" w:cs="Arial"/>
        </w:rPr>
        <w:t xml:space="preserve"> </w:t>
      </w:r>
      <w:r w:rsidR="007A07A9" w:rsidRPr="001D1A10">
        <w:rPr>
          <w:rFonts w:ascii="Arial" w:hAnsi="Arial" w:cs="Arial"/>
        </w:rPr>
        <w:t>f</w:t>
      </w:r>
      <w:r w:rsidRPr="001D1A10">
        <w:rPr>
          <w:rFonts w:ascii="Arial" w:hAnsi="Arial" w:cs="Arial"/>
        </w:rPr>
        <w:t xml:space="preserve">or each extra dollar invested </w:t>
      </w:r>
      <w:r w:rsidR="00352E6F">
        <w:rPr>
          <w:rFonts w:ascii="Arial" w:hAnsi="Arial" w:cs="Arial"/>
        </w:rPr>
        <w:t>resulted in a savings of $124.</w:t>
      </w:r>
    </w:p>
    <w:p w14:paraId="20D353EE" w14:textId="43004102" w:rsidR="007A07A9" w:rsidRPr="001D1A10" w:rsidRDefault="00ED263F" w:rsidP="003A22F4">
      <w:pPr>
        <w:rPr>
          <w:rFonts w:ascii="Arial" w:eastAsia="SimSun" w:hAnsi="Arial" w:cs="Arial"/>
          <w:lang w:eastAsia="zh-CN"/>
        </w:rPr>
      </w:pPr>
      <w:r w:rsidRPr="001D1A10">
        <w:rPr>
          <w:rFonts w:ascii="Arial" w:eastAsia="SimSun" w:hAnsi="Arial" w:cs="Arial"/>
          <w:lang w:eastAsia="zh-CN"/>
        </w:rPr>
        <w:t xml:space="preserve">A meta-analysis </w:t>
      </w:r>
      <w:r w:rsidR="003A22F4" w:rsidRPr="001D1A10">
        <w:rPr>
          <w:rFonts w:ascii="Arial" w:eastAsia="SimSun" w:hAnsi="Arial" w:cs="Arial"/>
          <w:lang w:eastAsia="zh-CN"/>
        </w:rPr>
        <w:t xml:space="preserve">was conducted </w:t>
      </w:r>
      <w:r w:rsidR="007A07A9" w:rsidRPr="001D1A10">
        <w:rPr>
          <w:rFonts w:ascii="Arial" w:eastAsia="SimSun" w:hAnsi="Arial" w:cs="Arial"/>
          <w:lang w:eastAsia="zh-CN"/>
        </w:rPr>
        <w:t>comparing NFC vs 3WSC regarding BSI rates</w:t>
      </w:r>
      <w:r w:rsidRPr="001D1A10">
        <w:rPr>
          <w:rFonts w:ascii="Arial" w:eastAsia="SimSun" w:hAnsi="Arial" w:cs="Arial"/>
          <w:lang w:eastAsia="zh-CN"/>
        </w:rPr>
        <w:t xml:space="preserve">. </w:t>
      </w:r>
      <w:r w:rsidR="007A07A9" w:rsidRPr="001D1A10">
        <w:rPr>
          <w:rFonts w:ascii="Arial" w:eastAsia="SimSun" w:hAnsi="Arial" w:cs="Arial"/>
          <w:lang w:eastAsia="zh-CN"/>
        </w:rPr>
        <w:t>R</w:t>
      </w:r>
      <w:r w:rsidRPr="001D1A10">
        <w:rPr>
          <w:rFonts w:ascii="Arial" w:eastAsia="SimSun" w:hAnsi="Arial" w:cs="Arial"/>
          <w:lang w:eastAsia="zh-CN"/>
        </w:rPr>
        <w:t>elevant randomized studies published from January 2000 to September 2018</w:t>
      </w:r>
      <w:r w:rsidR="007A07A9" w:rsidRPr="001D1A10">
        <w:rPr>
          <w:rFonts w:ascii="Arial" w:eastAsia="SimSun" w:hAnsi="Arial" w:cs="Arial"/>
          <w:lang w:eastAsia="zh-CN"/>
        </w:rPr>
        <w:t xml:space="preserve"> were reviewed</w:t>
      </w:r>
      <w:r w:rsidRPr="001D1A10">
        <w:rPr>
          <w:rFonts w:ascii="Arial" w:eastAsia="SimSun" w:hAnsi="Arial" w:cs="Arial"/>
          <w:lang w:eastAsia="zh-CN"/>
        </w:rPr>
        <w:t>.</w:t>
      </w:r>
      <w:r w:rsidR="007A07A9" w:rsidRPr="001D1A10">
        <w:rPr>
          <w:rFonts w:ascii="Arial" w:eastAsia="SimSun" w:hAnsi="Arial" w:cs="Arial"/>
          <w:lang w:eastAsia="zh-CN"/>
        </w:rPr>
        <w:t xml:space="preserve"> </w:t>
      </w:r>
      <w:r w:rsidRPr="001D1A10">
        <w:rPr>
          <w:rFonts w:ascii="Arial" w:eastAsia="SimSun" w:hAnsi="Arial" w:cs="Arial"/>
          <w:lang w:eastAsia="zh-CN"/>
        </w:rPr>
        <w:t>We</w:t>
      </w:r>
      <w:r w:rsidR="00352E6F">
        <w:rPr>
          <w:rFonts w:ascii="Arial" w:eastAsia="SimSun" w:hAnsi="Arial" w:cs="Arial"/>
          <w:lang w:eastAsia="zh-CN"/>
        </w:rPr>
        <w:t xml:space="preserve"> </w:t>
      </w:r>
      <w:r w:rsidRPr="001D1A10">
        <w:rPr>
          <w:rFonts w:ascii="Arial" w:eastAsia="SimSun" w:hAnsi="Arial" w:cs="Arial"/>
          <w:lang w:eastAsia="zh-CN"/>
        </w:rPr>
        <w:t xml:space="preserve">identified, and selected for the meta-analysis, 8 studies comparing </w:t>
      </w:r>
      <w:r w:rsidR="007A07A9" w:rsidRPr="001D1A10">
        <w:rPr>
          <w:rFonts w:ascii="Arial" w:eastAsia="SimSun" w:hAnsi="Arial" w:cs="Arial"/>
          <w:lang w:eastAsia="zh-CN"/>
        </w:rPr>
        <w:t>BSI</w:t>
      </w:r>
      <w:r w:rsidRPr="001D1A10">
        <w:rPr>
          <w:rFonts w:ascii="Arial" w:eastAsia="SimSun" w:hAnsi="Arial" w:cs="Arial"/>
          <w:lang w:eastAsia="zh-CN"/>
        </w:rPr>
        <w:t xml:space="preserve"> rates associated with NFCs with negative-displacement, neutral-displacement, or positive-displacement devices, with 3WSC. </w:t>
      </w:r>
      <w:r w:rsidR="003A22F4" w:rsidRPr="001D1A10">
        <w:rPr>
          <w:rFonts w:ascii="Arial" w:eastAsia="SimSun" w:hAnsi="Arial" w:cs="Arial"/>
          <w:lang w:eastAsia="zh-CN"/>
        </w:rPr>
        <w:t xml:space="preserve">The results were: </w:t>
      </w:r>
      <w:r w:rsidRPr="001D1A10">
        <w:rPr>
          <w:rFonts w:ascii="Arial" w:eastAsia="SimSun" w:hAnsi="Arial" w:cs="Arial"/>
          <w:lang w:eastAsia="zh-CN"/>
        </w:rPr>
        <w:t>R</w:t>
      </w:r>
      <w:r w:rsidR="003A22F4" w:rsidRPr="001D1A10">
        <w:rPr>
          <w:rFonts w:ascii="Arial" w:eastAsia="SimSun" w:hAnsi="Arial" w:cs="Arial"/>
          <w:lang w:eastAsia="zh-CN"/>
        </w:rPr>
        <w:t>R</w:t>
      </w:r>
      <w:r w:rsidRPr="001D1A10">
        <w:rPr>
          <w:rFonts w:ascii="Arial" w:eastAsia="SimSun" w:hAnsi="Arial" w:cs="Arial"/>
          <w:lang w:eastAsia="zh-CN"/>
        </w:rPr>
        <w:t xml:space="preserve"> </w:t>
      </w:r>
      <w:r w:rsidRPr="001D1A10">
        <w:rPr>
          <w:rFonts w:ascii="Arial" w:hAnsi="Arial" w:cs="Arial"/>
        </w:rPr>
        <w:t>0.53</w:t>
      </w:r>
      <w:r w:rsidR="003A22F4" w:rsidRPr="001D1A10">
        <w:rPr>
          <w:rFonts w:ascii="Arial" w:hAnsi="Arial" w:cs="Arial"/>
        </w:rPr>
        <w:t xml:space="preserve">, </w:t>
      </w:r>
      <w:r w:rsidRPr="001D1A10">
        <w:rPr>
          <w:rFonts w:ascii="Arial" w:hAnsi="Arial" w:cs="Arial"/>
        </w:rPr>
        <w:t xml:space="preserve">95% </w:t>
      </w:r>
      <w:r w:rsidR="003A22F4" w:rsidRPr="001D1A10">
        <w:rPr>
          <w:rFonts w:ascii="Arial" w:hAnsi="Arial" w:cs="Arial"/>
        </w:rPr>
        <w:t>CI</w:t>
      </w:r>
      <w:r w:rsidRPr="001D1A10">
        <w:rPr>
          <w:rFonts w:ascii="Arial" w:hAnsi="Arial" w:cs="Arial"/>
        </w:rPr>
        <w:t xml:space="preserve"> 0.28</w:t>
      </w:r>
      <w:r w:rsidR="003A22F4" w:rsidRPr="001D1A10">
        <w:rPr>
          <w:rFonts w:ascii="Arial" w:hAnsi="Arial" w:cs="Arial"/>
        </w:rPr>
        <w:t>-</w:t>
      </w:r>
      <w:r w:rsidRPr="001D1A10">
        <w:rPr>
          <w:rFonts w:ascii="Arial" w:hAnsi="Arial" w:cs="Arial"/>
        </w:rPr>
        <w:t xml:space="preserve">1.00, and the Relative Difference was -0.018 with a 95% </w:t>
      </w:r>
      <w:r w:rsidR="003A22F4" w:rsidRPr="001D1A10">
        <w:rPr>
          <w:rFonts w:ascii="Arial" w:hAnsi="Arial" w:cs="Arial"/>
        </w:rPr>
        <w:t xml:space="preserve">CI: </w:t>
      </w:r>
      <w:r w:rsidRPr="001D1A10">
        <w:rPr>
          <w:rFonts w:ascii="Arial" w:hAnsi="Arial" w:cs="Arial"/>
        </w:rPr>
        <w:t>0.039</w:t>
      </w:r>
      <w:r w:rsidR="0065053B" w:rsidRPr="001D1A10">
        <w:rPr>
          <w:rFonts w:ascii="Arial" w:hAnsi="Arial" w:cs="Arial"/>
        </w:rPr>
        <w:t>-</w:t>
      </w:r>
      <w:r w:rsidRPr="001D1A10">
        <w:rPr>
          <w:rFonts w:ascii="Arial" w:hAnsi="Arial" w:cs="Arial"/>
        </w:rPr>
        <w:t>0.004.</w:t>
      </w:r>
      <w:r w:rsidR="007A07A9" w:rsidRPr="001D1A10">
        <w:rPr>
          <w:rFonts w:ascii="Arial" w:hAnsi="Arial" w:cs="Arial"/>
        </w:rPr>
        <w:t xml:space="preserve"> </w:t>
      </w:r>
      <w:r w:rsidR="0065053B" w:rsidRPr="001D1A10">
        <w:rPr>
          <w:rFonts w:ascii="Arial" w:hAnsi="Arial" w:cs="Arial"/>
        </w:rPr>
        <w:t xml:space="preserve">BSI </w:t>
      </w:r>
      <w:r w:rsidRPr="001D1A10">
        <w:rPr>
          <w:rFonts w:ascii="Arial" w:eastAsia="SimSun" w:hAnsi="Arial" w:cs="Arial"/>
          <w:lang w:eastAsia="zh-CN"/>
        </w:rPr>
        <w:t xml:space="preserve">risk was </w:t>
      </w:r>
      <w:r w:rsidR="0065053B" w:rsidRPr="001D1A10">
        <w:rPr>
          <w:rFonts w:ascii="Arial" w:eastAsia="SimSun" w:hAnsi="Arial" w:cs="Arial"/>
          <w:lang w:eastAsia="zh-CN"/>
        </w:rPr>
        <w:t>47%</w:t>
      </w:r>
      <w:r w:rsidRPr="001D1A10">
        <w:rPr>
          <w:rFonts w:ascii="Arial" w:eastAsia="SimSun" w:hAnsi="Arial" w:cs="Arial"/>
          <w:lang w:eastAsia="zh-CN"/>
        </w:rPr>
        <w:t xml:space="preserve"> higher </w:t>
      </w:r>
      <w:r w:rsidR="0065053B" w:rsidRPr="001D1A10">
        <w:rPr>
          <w:rFonts w:ascii="Arial" w:eastAsia="SimSun" w:hAnsi="Arial" w:cs="Arial"/>
          <w:lang w:eastAsia="zh-CN"/>
        </w:rPr>
        <w:t xml:space="preserve">using </w:t>
      </w:r>
      <w:r w:rsidRPr="001D1A10">
        <w:rPr>
          <w:rFonts w:ascii="Arial" w:eastAsia="SimSun" w:hAnsi="Arial" w:cs="Arial"/>
          <w:lang w:eastAsia="zh-CN"/>
        </w:rPr>
        <w:t>3WSC compared with NFCs</w:t>
      </w:r>
      <w:r w:rsidR="007A07A9" w:rsidRPr="001D1A10">
        <w:rPr>
          <w:rFonts w:ascii="Arial" w:eastAsia="SimSun" w:hAnsi="Arial" w:cs="Arial"/>
          <w:lang w:eastAsia="zh-CN"/>
        </w:rPr>
        <w:t>.</w:t>
      </w:r>
    </w:p>
    <w:p w14:paraId="6647872F" w14:textId="4A644AF9" w:rsidR="00ED263F" w:rsidRPr="001D1A10" w:rsidRDefault="004951B9" w:rsidP="003A22F4">
      <w:pPr>
        <w:rPr>
          <w:rFonts w:ascii="Arial" w:hAnsi="Arial" w:cs="Arial"/>
          <w:color w:val="000000" w:themeColor="text1"/>
        </w:rPr>
      </w:pPr>
      <w:r w:rsidRPr="00152383">
        <w:rPr>
          <w:rFonts w:ascii="Arial" w:eastAsia="SimSun" w:hAnsi="Arial" w:cs="Arial"/>
          <w:b/>
          <w:bCs/>
          <w:lang w:eastAsia="zh-CN"/>
        </w:rPr>
        <w:t>Conclusions:</w:t>
      </w:r>
      <w:r w:rsidRPr="001D1A10">
        <w:rPr>
          <w:rFonts w:ascii="Arial" w:eastAsia="SimSun" w:hAnsi="Arial" w:cs="Arial"/>
          <w:lang w:eastAsia="zh-CN"/>
        </w:rPr>
        <w:t xml:space="preserve"> CLAB and PLAB rates are high worldwide, and NFC</w:t>
      </w:r>
      <w:r w:rsidR="00352E6F">
        <w:rPr>
          <w:rFonts w:ascii="Arial" w:eastAsia="SimSun" w:hAnsi="Arial" w:cs="Arial"/>
          <w:lang w:eastAsia="zh-CN"/>
        </w:rPr>
        <w:t>s</w:t>
      </w:r>
      <w:r w:rsidRPr="001D1A10">
        <w:rPr>
          <w:rFonts w:ascii="Arial" w:eastAsia="SimSun" w:hAnsi="Arial" w:cs="Arial"/>
          <w:lang w:eastAsia="zh-CN"/>
        </w:rPr>
        <w:t xml:space="preserve"> are associated with lower rates of BSI, and</w:t>
      </w:r>
      <w:r w:rsidR="00352E6F">
        <w:rPr>
          <w:rFonts w:ascii="Arial" w:eastAsia="SimSun" w:hAnsi="Arial" w:cs="Arial"/>
          <w:lang w:eastAsia="zh-CN"/>
        </w:rPr>
        <w:t xml:space="preserve"> lower healthcare costs.  </w:t>
      </w:r>
      <w:r w:rsidR="00ED263F" w:rsidRPr="001D1A10">
        <w:rPr>
          <w:rFonts w:ascii="Arial" w:eastAsia="SimSun" w:hAnsi="Arial" w:cs="Arial"/>
          <w:lang w:eastAsia="zh-CN"/>
        </w:rPr>
        <w:t xml:space="preserve"> </w:t>
      </w:r>
    </w:p>
    <w:p w14:paraId="6119F8FA" w14:textId="77777777" w:rsidR="00A64046" w:rsidRPr="001D1A10" w:rsidRDefault="00A64046">
      <w:pPr>
        <w:rPr>
          <w:rFonts w:ascii="Arial" w:hAnsi="Arial" w:cs="Arial"/>
        </w:rPr>
      </w:pPr>
    </w:p>
    <w:sectPr w:rsidR="00A64046" w:rsidRPr="001D1A10" w:rsidSect="006247D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E46DBE"/>
    <w:multiLevelType w:val="hybridMultilevel"/>
    <w:tmpl w:val="19620F1E"/>
    <w:lvl w:ilvl="0" w:tplc="7966ADC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63F"/>
    <w:rsid w:val="00064F65"/>
    <w:rsid w:val="00152383"/>
    <w:rsid w:val="001910B9"/>
    <w:rsid w:val="001D1A10"/>
    <w:rsid w:val="00352E6F"/>
    <w:rsid w:val="003A22F4"/>
    <w:rsid w:val="004951B9"/>
    <w:rsid w:val="00533F39"/>
    <w:rsid w:val="006247D0"/>
    <w:rsid w:val="0065053B"/>
    <w:rsid w:val="007A07A9"/>
    <w:rsid w:val="00A64046"/>
    <w:rsid w:val="00D12381"/>
    <w:rsid w:val="00D70449"/>
    <w:rsid w:val="00ED263F"/>
    <w:rsid w:val="00FC3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FBA5E"/>
  <w15:chartTrackingRefBased/>
  <w15:docId w15:val="{5050A1A5-C7F6-764B-8AF6-C1B294FBC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D263F"/>
  </w:style>
  <w:style w:type="paragraph" w:styleId="BalloonText">
    <w:name w:val="Balloon Text"/>
    <w:basedOn w:val="Normal"/>
    <w:link w:val="BalloonTextChar"/>
    <w:uiPriority w:val="99"/>
    <w:semiHidden/>
    <w:unhideWhenUsed/>
    <w:rsid w:val="00ED263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D263F"/>
    <w:rPr>
      <w:rFonts w:ascii="Times New Roman" w:hAnsi="Times New Roman" w:cs="Times New Roman"/>
      <w:sz w:val="18"/>
      <w:szCs w:val="18"/>
    </w:rPr>
  </w:style>
  <w:style w:type="paragraph" w:customStyle="1" w:styleId="p1">
    <w:name w:val="p1"/>
    <w:basedOn w:val="Normal"/>
    <w:rsid w:val="00ED263F"/>
    <w:rPr>
      <w:rFonts w:ascii="Helvetica" w:hAnsi="Helvetica" w:cs="Times New Roman"/>
      <w:sz w:val="36"/>
      <w:szCs w:val="36"/>
    </w:rPr>
  </w:style>
  <w:style w:type="paragraph" w:styleId="ListParagraph">
    <w:name w:val="List Paragraph"/>
    <w:basedOn w:val="Normal"/>
    <w:uiPriority w:val="34"/>
    <w:qFormat/>
    <w:rsid w:val="004951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44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Rosenthal</dc:creator>
  <cp:keywords/>
  <dc:description/>
  <cp:lastModifiedBy>Nancy Trick</cp:lastModifiedBy>
  <cp:revision>2</cp:revision>
  <dcterms:created xsi:type="dcterms:W3CDTF">2020-03-20T14:59:00Z</dcterms:created>
  <dcterms:modified xsi:type="dcterms:W3CDTF">2020-03-20T14:59:00Z</dcterms:modified>
</cp:coreProperties>
</file>