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9B9" w:rsidRPr="001F03FB" w:rsidRDefault="001F03FB" w:rsidP="001F03FB">
      <w:pPr>
        <w:spacing w:line="360" w:lineRule="auto"/>
        <w:rPr>
          <w:rFonts w:asciiTheme="majorBidi" w:hAnsiTheme="majorBidi" w:cstheme="majorBidi"/>
        </w:rPr>
      </w:pPr>
      <w:r w:rsidRPr="001F03FB">
        <w:rPr>
          <w:rFonts w:asciiTheme="majorBidi" w:hAnsiTheme="majorBidi" w:cstheme="majorBidi"/>
        </w:rPr>
        <w:t xml:space="preserve">Treatment of toxoplasmosis is necessary in congenital form and immunocompromised patients.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is a powerful suppressor of protozoan parasites with a broad-spectrum activity, but an extremely low water solubility and bioavailability. In this study, </w:t>
      </w:r>
      <w:proofErr w:type="spellStart"/>
      <w:r w:rsidRPr="001F03FB">
        <w:rPr>
          <w:rFonts w:asciiTheme="majorBidi" w:hAnsiTheme="majorBidi" w:cstheme="majorBidi"/>
        </w:rPr>
        <w:t>nanoemulsion</w:t>
      </w:r>
      <w:proofErr w:type="spellEnd"/>
      <w:r w:rsidRPr="001F03FB">
        <w:rPr>
          <w:rFonts w:asciiTheme="majorBidi" w:hAnsiTheme="majorBidi" w:cstheme="majorBidi"/>
        </w:rPr>
        <w:t xml:space="preserve"> of this drug was prepared with grape seed oil using spontaneous emulsification method to increase bioavailability and efficacy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for treatment of toxoplasmosis. In vitro activity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</w:t>
      </w:r>
      <w:proofErr w:type="spellStart"/>
      <w:r w:rsidRPr="001F03FB">
        <w:rPr>
          <w:rFonts w:asciiTheme="majorBidi" w:hAnsiTheme="majorBidi" w:cstheme="majorBidi"/>
        </w:rPr>
        <w:t>nanoemulsion</w:t>
      </w:r>
      <w:proofErr w:type="spellEnd"/>
      <w:r w:rsidRPr="001F03FB">
        <w:rPr>
          <w:rFonts w:asciiTheme="majorBidi" w:hAnsiTheme="majorBidi" w:cstheme="majorBidi"/>
        </w:rPr>
        <w:t xml:space="preserve"> against </w:t>
      </w:r>
      <w:r w:rsidRPr="001F03FB">
        <w:rPr>
          <w:rFonts w:asciiTheme="majorBidi" w:hAnsiTheme="majorBidi" w:cstheme="majorBidi"/>
          <w:i/>
          <w:iCs/>
        </w:rPr>
        <w:t>T.</w:t>
      </w:r>
      <w:r w:rsidRPr="001F03FB">
        <w:rPr>
          <w:rFonts w:asciiTheme="majorBidi" w:hAnsiTheme="majorBidi" w:cstheme="majorBidi"/>
        </w:rPr>
        <w:t xml:space="preserve"> </w:t>
      </w:r>
      <w:proofErr w:type="spellStart"/>
      <w:r w:rsidRPr="001F03FB">
        <w:rPr>
          <w:rFonts w:asciiTheme="majorBidi" w:hAnsiTheme="majorBidi" w:cstheme="majorBidi"/>
          <w:i/>
          <w:iCs/>
        </w:rPr>
        <w:t>gondii</w:t>
      </w:r>
      <w:proofErr w:type="spellEnd"/>
      <w:r w:rsidRPr="001F03FB">
        <w:rPr>
          <w:rFonts w:asciiTheme="majorBidi" w:hAnsiTheme="majorBidi" w:cstheme="majorBidi"/>
          <w:i/>
          <w:iCs/>
        </w:rPr>
        <w:t>,</w:t>
      </w:r>
      <w:r w:rsidRPr="001F03FB">
        <w:rPr>
          <w:rFonts w:asciiTheme="majorBidi" w:hAnsiTheme="majorBidi" w:cstheme="majorBidi"/>
        </w:rPr>
        <w:t xml:space="preserve"> RH and Tehran strains, was assessed in HeLa cell culture. For in vivo assessment, BALB/c mice were infected with RH and Tehran strains and then treated with </w:t>
      </w:r>
      <w:proofErr w:type="spellStart"/>
      <w:r w:rsidRPr="001F03FB">
        <w:rPr>
          <w:rFonts w:asciiTheme="majorBidi" w:hAnsiTheme="majorBidi" w:cstheme="majorBidi"/>
        </w:rPr>
        <w:t>nanoemulsion</w:t>
      </w:r>
      <w:proofErr w:type="spellEnd"/>
      <w:r w:rsidRPr="001F03FB">
        <w:rPr>
          <w:rFonts w:asciiTheme="majorBidi" w:hAnsiTheme="majorBidi" w:cstheme="majorBidi"/>
        </w:rPr>
        <w:t xml:space="preserve">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, compared to that treated with free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. Concentration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</w:t>
      </w:r>
      <w:proofErr w:type="spellStart"/>
      <w:r w:rsidRPr="001F03FB">
        <w:rPr>
          <w:rFonts w:asciiTheme="majorBidi" w:hAnsiTheme="majorBidi" w:cstheme="majorBidi"/>
        </w:rPr>
        <w:t>nanoemulsion</w:t>
      </w:r>
      <w:proofErr w:type="spellEnd"/>
      <w:r w:rsidRPr="001F03FB">
        <w:rPr>
          <w:rFonts w:asciiTheme="majorBidi" w:hAnsiTheme="majorBidi" w:cstheme="majorBidi"/>
        </w:rPr>
        <w:t xml:space="preserve"> showed in vitro anti-parasitic effects in both strains of </w:t>
      </w:r>
      <w:bookmarkStart w:id="0" w:name="_GoBack"/>
      <w:r w:rsidRPr="001F03FB">
        <w:rPr>
          <w:rFonts w:asciiTheme="majorBidi" w:hAnsiTheme="majorBidi" w:cstheme="majorBidi"/>
          <w:i/>
          <w:iCs/>
        </w:rPr>
        <w:t xml:space="preserve">T. </w:t>
      </w:r>
      <w:proofErr w:type="spellStart"/>
      <w:r w:rsidRPr="001F03FB">
        <w:rPr>
          <w:rFonts w:asciiTheme="majorBidi" w:hAnsiTheme="majorBidi" w:cstheme="majorBidi"/>
          <w:i/>
          <w:iCs/>
        </w:rPr>
        <w:t>gondii</w:t>
      </w:r>
      <w:bookmarkEnd w:id="0"/>
      <w:proofErr w:type="spellEnd"/>
      <w:r w:rsidRPr="001F03FB">
        <w:rPr>
          <w:rFonts w:asciiTheme="majorBidi" w:hAnsiTheme="majorBidi" w:cstheme="majorBidi"/>
        </w:rPr>
        <w:t xml:space="preserve">. Furthermore, oral administration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</w:t>
      </w:r>
      <w:proofErr w:type="spellStart"/>
      <w:r w:rsidRPr="001F03FB">
        <w:rPr>
          <w:rFonts w:asciiTheme="majorBidi" w:hAnsiTheme="majorBidi" w:cstheme="majorBidi"/>
        </w:rPr>
        <w:t>nanoemulsion</w:t>
      </w:r>
      <w:proofErr w:type="spellEnd"/>
      <w:r w:rsidRPr="001F03FB">
        <w:rPr>
          <w:rFonts w:asciiTheme="majorBidi" w:hAnsiTheme="majorBidi" w:cstheme="majorBidi"/>
        </w:rPr>
        <w:t xml:space="preserve"> increased oral bioavailability, tissue distribution and mice survival time and reduced </w:t>
      </w:r>
      <w:proofErr w:type="spellStart"/>
      <w:r w:rsidRPr="001F03FB">
        <w:rPr>
          <w:rFonts w:asciiTheme="majorBidi" w:hAnsiTheme="majorBidi" w:cstheme="majorBidi"/>
        </w:rPr>
        <w:t>parasitemia</w:t>
      </w:r>
      <w:proofErr w:type="spellEnd"/>
      <w:r w:rsidRPr="001F03FB">
        <w:rPr>
          <w:rFonts w:asciiTheme="majorBidi" w:hAnsiTheme="majorBidi" w:cstheme="majorBidi"/>
        </w:rPr>
        <w:t xml:space="preserve"> and number and size of the brain cysts. Decrease of cyst numbers was verified by down regulation of BAG1 using real-time polymerase chain reaction (real-time PCR) assay. Effective therapeutic activity of </w:t>
      </w:r>
      <w:proofErr w:type="spellStart"/>
      <w:r w:rsidRPr="001F03FB">
        <w:rPr>
          <w:rFonts w:asciiTheme="majorBidi" w:hAnsiTheme="majorBidi" w:cstheme="majorBidi"/>
        </w:rPr>
        <w:t>atovaquone</w:t>
      </w:r>
      <w:proofErr w:type="spellEnd"/>
      <w:r w:rsidRPr="001F03FB">
        <w:rPr>
          <w:rFonts w:asciiTheme="majorBidi" w:hAnsiTheme="majorBidi" w:cstheme="majorBidi"/>
        </w:rPr>
        <w:t xml:space="preserve"> at a reduced dose is the major achievement of this study.</w:t>
      </w:r>
    </w:p>
    <w:sectPr w:rsidR="006919B9" w:rsidRPr="001F0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FB"/>
    <w:rsid w:val="001F03FB"/>
    <w:rsid w:val="008A5C7D"/>
    <w:rsid w:val="00ED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463BCA-9D8A-49DB-82D5-13525DD4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SSHOJAI</dc:creator>
  <cp:keywords/>
  <dc:description/>
  <cp:lastModifiedBy>SSHOJAI</cp:lastModifiedBy>
  <cp:revision>1</cp:revision>
  <dcterms:created xsi:type="dcterms:W3CDTF">2018-04-15T06:15:00Z</dcterms:created>
  <dcterms:modified xsi:type="dcterms:W3CDTF">2018-04-15T06:20:00Z</dcterms:modified>
</cp:coreProperties>
</file>