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15" w:type="dxa"/>
        <w:tblCellMar>
          <w:left w:w="0" w:type="dxa"/>
          <w:right w:w="0" w:type="dxa"/>
        </w:tblCellMar>
        <w:tblLook w:val="04A0" w:firstRow="1" w:lastRow="0" w:firstColumn="1" w:lastColumn="0" w:noHBand="0" w:noVBand="1"/>
      </w:tblPr>
      <w:tblGrid>
        <w:gridCol w:w="9420"/>
      </w:tblGrid>
      <w:tr w:rsidR="00D47324" w:rsidRPr="006F098B" w:rsidTr="008554CF">
        <w:trPr>
          <w:trHeight w:val="240"/>
          <w:tblCellSpacing w:w="15" w:type="dxa"/>
        </w:trPr>
        <w:tc>
          <w:tcPr>
            <w:tcW w:w="0" w:type="auto"/>
            <w:shd w:val="clear" w:color="auto" w:fill="EEEEEE"/>
            <w:vAlign w:val="center"/>
          </w:tcPr>
          <w:p w:rsidR="00D47324" w:rsidRPr="006F098B" w:rsidRDefault="00555052" w:rsidP="00E54310">
            <w:pPr>
              <w:rPr>
                <w:rFonts w:ascii="Times New Roman" w:eastAsia="Times New Roman" w:hAnsi="Times New Roman" w:cs="Times New Roman"/>
                <w:sz w:val="20"/>
                <w:szCs w:val="20"/>
              </w:rPr>
            </w:pPr>
            <w:r w:rsidRPr="006F098B">
              <w:rPr>
                <w:rFonts w:ascii="Times New Roman" w:eastAsia="Times New Roman" w:hAnsi="Times New Roman" w:cs="Times New Roman"/>
                <w:sz w:val="20"/>
                <w:szCs w:val="20"/>
              </w:rPr>
              <w:t xml:space="preserve">The Effect of Green Tea Extract Supplementation on Weight Changes, Serum </w:t>
            </w:r>
            <w:proofErr w:type="spellStart"/>
            <w:r w:rsidRPr="006F098B">
              <w:rPr>
                <w:rFonts w:ascii="Times New Roman" w:eastAsia="Times New Roman" w:hAnsi="Times New Roman" w:cs="Times New Roman"/>
                <w:sz w:val="20"/>
                <w:szCs w:val="20"/>
              </w:rPr>
              <w:t>Malondialdehyde</w:t>
            </w:r>
            <w:proofErr w:type="spellEnd"/>
            <w:r w:rsidRPr="006F098B">
              <w:rPr>
                <w:rFonts w:ascii="Times New Roman" w:eastAsia="Times New Roman" w:hAnsi="Times New Roman" w:cs="Times New Roman"/>
                <w:sz w:val="20"/>
                <w:szCs w:val="20"/>
              </w:rPr>
              <w:t xml:space="preserve"> and Blood Iron Indices in P</w:t>
            </w:r>
            <w:r w:rsidR="00D47324" w:rsidRPr="006F098B">
              <w:rPr>
                <w:rFonts w:ascii="Times New Roman" w:eastAsia="Times New Roman" w:hAnsi="Times New Roman" w:cs="Times New Roman"/>
                <w:sz w:val="20"/>
                <w:szCs w:val="20"/>
              </w:rPr>
              <w:t xml:space="preserve">ulmonary </w:t>
            </w:r>
            <w:r w:rsidRPr="006F098B">
              <w:rPr>
                <w:rFonts w:ascii="Times New Roman" w:eastAsia="Times New Roman" w:hAnsi="Times New Roman" w:cs="Times New Roman"/>
                <w:sz w:val="20"/>
                <w:szCs w:val="20"/>
              </w:rPr>
              <w:t xml:space="preserve">TB </w:t>
            </w:r>
            <w:proofErr w:type="spellStart"/>
            <w:r w:rsidRPr="006F098B">
              <w:rPr>
                <w:rFonts w:ascii="Times New Roman" w:eastAsia="Times New Roman" w:hAnsi="Times New Roman" w:cs="Times New Roman"/>
                <w:sz w:val="20"/>
                <w:szCs w:val="20"/>
              </w:rPr>
              <w:t>Patients:a</w:t>
            </w:r>
            <w:proofErr w:type="spellEnd"/>
            <w:r w:rsidRPr="006F098B">
              <w:rPr>
                <w:rFonts w:ascii="Times New Roman" w:eastAsia="Times New Roman" w:hAnsi="Times New Roman" w:cs="Times New Roman"/>
                <w:sz w:val="20"/>
                <w:szCs w:val="20"/>
              </w:rPr>
              <w:t xml:space="preserve"> Randomized Controlled Trial</w:t>
            </w:r>
          </w:p>
        </w:tc>
      </w:tr>
      <w:tr w:rsidR="00D47324" w:rsidRPr="006F098B" w:rsidTr="008554CF">
        <w:trPr>
          <w:trHeight w:val="270"/>
          <w:tblCellSpacing w:w="15" w:type="dxa"/>
        </w:trPr>
        <w:tc>
          <w:tcPr>
            <w:tcW w:w="0" w:type="auto"/>
            <w:shd w:val="clear" w:color="auto" w:fill="EEEEEE"/>
            <w:vAlign w:val="center"/>
            <w:hideMark/>
          </w:tcPr>
          <w:p w:rsidR="00D47324" w:rsidRPr="006F098B" w:rsidRDefault="00D47324" w:rsidP="008554CF">
            <w:pPr>
              <w:spacing w:after="0" w:line="240" w:lineRule="auto"/>
              <w:rPr>
                <w:rFonts w:ascii="Times New Roman" w:eastAsia="Times New Roman" w:hAnsi="Times New Roman" w:cs="Times New Roman"/>
                <w:sz w:val="20"/>
                <w:szCs w:val="20"/>
              </w:rPr>
            </w:pPr>
            <w:r w:rsidRPr="006F098B">
              <w:rPr>
                <w:rFonts w:ascii="Times New Roman" w:eastAsia="Times New Roman" w:hAnsi="Times New Roman" w:cs="Times New Roman"/>
                <w:sz w:val="20"/>
                <w:szCs w:val="20"/>
                <w:u w:val="single"/>
              </w:rPr>
              <w:t xml:space="preserve">Shahryar </w:t>
            </w:r>
            <w:proofErr w:type="spellStart"/>
            <w:r w:rsidRPr="006F098B">
              <w:rPr>
                <w:rFonts w:ascii="Times New Roman" w:eastAsia="Times New Roman" w:hAnsi="Times New Roman" w:cs="Times New Roman"/>
                <w:sz w:val="20"/>
                <w:szCs w:val="20"/>
                <w:u w:val="single"/>
              </w:rPr>
              <w:t>Eghtesadi</w:t>
            </w:r>
            <w:proofErr w:type="spellEnd"/>
            <w:r w:rsidRPr="006F098B">
              <w:rPr>
                <w:rFonts w:ascii="Times New Roman" w:eastAsia="Times New Roman" w:hAnsi="Times New Roman" w:cs="Times New Roman"/>
                <w:sz w:val="20"/>
                <w:szCs w:val="20"/>
              </w:rPr>
              <w:t xml:space="preserve">; Mohammad Reza </w:t>
            </w:r>
            <w:proofErr w:type="spellStart"/>
            <w:r w:rsidRPr="006F098B">
              <w:rPr>
                <w:rFonts w:ascii="Times New Roman" w:eastAsia="Times New Roman" w:hAnsi="Times New Roman" w:cs="Times New Roman"/>
                <w:sz w:val="20"/>
                <w:szCs w:val="20"/>
              </w:rPr>
              <w:t>Honarvar</w:t>
            </w:r>
            <w:proofErr w:type="spellEnd"/>
            <w:r w:rsidRPr="006F098B">
              <w:rPr>
                <w:rFonts w:ascii="Times New Roman" w:eastAsia="Times New Roman" w:hAnsi="Times New Roman" w:cs="Times New Roman"/>
                <w:sz w:val="20"/>
                <w:szCs w:val="20"/>
              </w:rPr>
              <w:t xml:space="preserve">; </w:t>
            </w:r>
            <w:proofErr w:type="spellStart"/>
            <w:r w:rsidRPr="006F098B">
              <w:rPr>
                <w:rFonts w:ascii="Times New Roman" w:eastAsia="Times New Roman" w:hAnsi="Times New Roman" w:cs="Times New Roman"/>
                <w:sz w:val="20"/>
                <w:szCs w:val="20"/>
              </w:rPr>
              <w:t>Pooria</w:t>
            </w:r>
            <w:proofErr w:type="spellEnd"/>
            <w:r w:rsidRPr="006F098B">
              <w:rPr>
                <w:rFonts w:ascii="Times New Roman" w:eastAsia="Times New Roman" w:hAnsi="Times New Roman" w:cs="Times New Roman"/>
                <w:sz w:val="20"/>
                <w:szCs w:val="20"/>
              </w:rPr>
              <w:t xml:space="preserve"> Gill; </w:t>
            </w:r>
            <w:proofErr w:type="spellStart"/>
            <w:r w:rsidRPr="006F098B">
              <w:rPr>
                <w:rFonts w:ascii="Times New Roman" w:eastAsia="Times New Roman" w:hAnsi="Times New Roman" w:cs="Times New Roman"/>
                <w:sz w:val="20"/>
                <w:szCs w:val="20"/>
              </w:rPr>
              <w:t>Shima</w:t>
            </w:r>
            <w:proofErr w:type="spellEnd"/>
            <w:r w:rsidRPr="006F098B">
              <w:rPr>
                <w:rFonts w:ascii="Times New Roman" w:eastAsia="Times New Roman" w:hAnsi="Times New Roman" w:cs="Times New Roman"/>
                <w:sz w:val="20"/>
                <w:szCs w:val="20"/>
              </w:rPr>
              <w:t xml:space="preserve"> </w:t>
            </w:r>
            <w:proofErr w:type="spellStart"/>
            <w:r w:rsidRPr="006F098B">
              <w:rPr>
                <w:rFonts w:ascii="Times New Roman" w:eastAsia="Times New Roman" w:hAnsi="Times New Roman" w:cs="Times New Roman"/>
                <w:sz w:val="20"/>
                <w:szCs w:val="20"/>
              </w:rPr>
              <w:t>Jazayeri</w:t>
            </w:r>
            <w:proofErr w:type="spellEnd"/>
            <w:r w:rsidRPr="006F098B">
              <w:rPr>
                <w:rFonts w:ascii="Times New Roman" w:eastAsia="Times New Roman" w:hAnsi="Times New Roman" w:cs="Times New Roman"/>
                <w:sz w:val="20"/>
                <w:szCs w:val="20"/>
              </w:rPr>
              <w:t xml:space="preserve">; Mohammad Ali </w:t>
            </w:r>
            <w:proofErr w:type="spellStart"/>
            <w:r w:rsidRPr="006F098B">
              <w:rPr>
                <w:rFonts w:ascii="Times New Roman" w:eastAsia="Times New Roman" w:hAnsi="Times New Roman" w:cs="Times New Roman"/>
                <w:sz w:val="20"/>
                <w:szCs w:val="20"/>
              </w:rPr>
              <w:t>Vakili</w:t>
            </w:r>
            <w:proofErr w:type="spellEnd"/>
            <w:r w:rsidRPr="006F098B">
              <w:rPr>
                <w:rFonts w:ascii="Times New Roman" w:eastAsia="Times New Roman" w:hAnsi="Times New Roman" w:cs="Times New Roman"/>
                <w:sz w:val="20"/>
                <w:szCs w:val="20"/>
              </w:rPr>
              <w:t xml:space="preserve">; Mohammad Reza </w:t>
            </w:r>
            <w:proofErr w:type="spellStart"/>
            <w:r w:rsidRPr="006F098B">
              <w:rPr>
                <w:rFonts w:ascii="Times New Roman" w:eastAsia="Times New Roman" w:hAnsi="Times New Roman" w:cs="Times New Roman"/>
                <w:sz w:val="20"/>
                <w:szCs w:val="20"/>
              </w:rPr>
              <w:t>Shamsardekani</w:t>
            </w:r>
            <w:proofErr w:type="spellEnd"/>
            <w:r w:rsidRPr="006F098B">
              <w:rPr>
                <w:rFonts w:ascii="Times New Roman" w:eastAsia="Times New Roman" w:hAnsi="Times New Roman" w:cs="Times New Roman"/>
                <w:sz w:val="20"/>
                <w:szCs w:val="20"/>
              </w:rPr>
              <w:t xml:space="preserve">; </w:t>
            </w:r>
            <w:proofErr w:type="spellStart"/>
            <w:r w:rsidRPr="006F098B">
              <w:rPr>
                <w:rFonts w:ascii="Times New Roman" w:eastAsia="Times New Roman" w:hAnsi="Times New Roman" w:cs="Times New Roman"/>
                <w:sz w:val="20"/>
                <w:szCs w:val="20"/>
              </w:rPr>
              <w:t>Abdollah</w:t>
            </w:r>
            <w:proofErr w:type="spellEnd"/>
            <w:r w:rsidRPr="006F098B">
              <w:rPr>
                <w:rFonts w:ascii="Times New Roman" w:eastAsia="Times New Roman" w:hAnsi="Times New Roman" w:cs="Times New Roman"/>
                <w:sz w:val="20"/>
                <w:szCs w:val="20"/>
              </w:rPr>
              <w:t xml:space="preserve"> </w:t>
            </w:r>
            <w:proofErr w:type="spellStart"/>
            <w:r w:rsidRPr="006F098B">
              <w:rPr>
                <w:rFonts w:ascii="Times New Roman" w:eastAsia="Times New Roman" w:hAnsi="Times New Roman" w:cs="Times New Roman"/>
                <w:sz w:val="20"/>
                <w:szCs w:val="20"/>
              </w:rPr>
              <w:t>Abbasi</w:t>
            </w:r>
            <w:proofErr w:type="spellEnd"/>
          </w:p>
          <w:p w:rsidR="00E54310" w:rsidRPr="006F098B" w:rsidRDefault="00E54310" w:rsidP="008554CF">
            <w:pPr>
              <w:spacing w:after="0" w:line="240" w:lineRule="auto"/>
              <w:rPr>
                <w:rFonts w:ascii="Times New Roman" w:eastAsia="Times New Roman" w:hAnsi="Times New Roman" w:cs="Times New Roman"/>
                <w:sz w:val="20"/>
                <w:szCs w:val="20"/>
              </w:rPr>
            </w:pPr>
            <w:r w:rsidRPr="006F098B">
              <w:rPr>
                <w:rFonts w:ascii="Times New Roman" w:eastAsia="Times New Roman" w:hAnsi="Times New Roman" w:cs="Times New Roman"/>
                <w:sz w:val="20"/>
                <w:szCs w:val="20"/>
              </w:rPr>
              <w:t>Azad Universi</w:t>
            </w:r>
            <w:r w:rsidR="00C72126">
              <w:rPr>
                <w:rFonts w:ascii="Times New Roman" w:eastAsia="Times New Roman" w:hAnsi="Times New Roman" w:cs="Times New Roman"/>
                <w:sz w:val="20"/>
                <w:szCs w:val="20"/>
              </w:rPr>
              <w:t>t</w:t>
            </w:r>
            <w:r w:rsidR="0093264F">
              <w:rPr>
                <w:rFonts w:ascii="Times New Roman" w:eastAsia="Times New Roman" w:hAnsi="Times New Roman" w:cs="Times New Roman"/>
                <w:sz w:val="20"/>
                <w:szCs w:val="20"/>
              </w:rPr>
              <w:t>y, Science and Research Branch;</w:t>
            </w:r>
            <w:r w:rsidR="00C72126">
              <w:rPr>
                <w:rFonts w:ascii="Times New Roman" w:eastAsia="Times New Roman" w:hAnsi="Times New Roman" w:cs="Times New Roman"/>
                <w:sz w:val="20"/>
                <w:szCs w:val="20"/>
              </w:rPr>
              <w:t>Iran University of Medical Sciences</w:t>
            </w:r>
          </w:p>
          <w:p w:rsidR="00E54310" w:rsidRPr="006F098B" w:rsidRDefault="00E54310" w:rsidP="008554CF">
            <w:pPr>
              <w:spacing w:after="0" w:line="240" w:lineRule="auto"/>
              <w:rPr>
                <w:rFonts w:ascii="Times New Roman" w:eastAsia="Times New Roman" w:hAnsi="Times New Roman" w:cs="Times New Roman"/>
                <w:sz w:val="20"/>
                <w:szCs w:val="20"/>
              </w:rPr>
            </w:pPr>
            <w:proofErr w:type="spellStart"/>
            <w:r w:rsidRPr="006F098B">
              <w:rPr>
                <w:rFonts w:ascii="Times New Roman" w:eastAsia="Times New Roman" w:hAnsi="Times New Roman" w:cs="Times New Roman"/>
                <w:sz w:val="20"/>
                <w:szCs w:val="20"/>
              </w:rPr>
              <w:t>Tehran,Iran</w:t>
            </w:r>
            <w:proofErr w:type="spellEnd"/>
          </w:p>
        </w:tc>
      </w:tr>
    </w:tbl>
    <w:p w:rsidR="00525814" w:rsidRPr="00C10E2D" w:rsidRDefault="00D47324" w:rsidP="00563DF5">
      <w:pPr>
        <w:pStyle w:val="Pa13"/>
        <w:spacing w:before="180"/>
        <w:jc w:val="both"/>
        <w:rPr>
          <w:rFonts w:ascii="Arial" w:eastAsia="Times New Roman" w:hAnsi="Arial" w:cs="Arial"/>
          <w:sz w:val="16"/>
          <w:szCs w:val="16"/>
        </w:rPr>
      </w:pPr>
      <w:r w:rsidRPr="00C10E2D">
        <w:rPr>
          <w:rFonts w:ascii="Arial" w:eastAsia="Times New Roman" w:hAnsi="Arial" w:cs="Arial"/>
          <w:sz w:val="16"/>
          <w:szCs w:val="16"/>
        </w:rPr>
        <w:t xml:space="preserve">High prevalence of TB in </w:t>
      </w:r>
      <w:proofErr w:type="spellStart"/>
      <w:r w:rsidRPr="00C10E2D">
        <w:rPr>
          <w:rFonts w:ascii="Arial" w:eastAsia="Times New Roman" w:hAnsi="Arial" w:cs="Arial"/>
          <w:sz w:val="16"/>
          <w:szCs w:val="16"/>
        </w:rPr>
        <w:t>Golestan</w:t>
      </w:r>
      <w:proofErr w:type="spellEnd"/>
      <w:r w:rsidRPr="00C10E2D">
        <w:rPr>
          <w:rFonts w:ascii="Arial" w:eastAsia="Times New Roman" w:hAnsi="Arial" w:cs="Arial"/>
          <w:sz w:val="16"/>
          <w:szCs w:val="16"/>
        </w:rPr>
        <w:t xml:space="preserve"> Province in north of Iran motivated us to use supplementation with  green tea extract to promote </w:t>
      </w:r>
      <w:proofErr w:type="spellStart"/>
      <w:r w:rsidRPr="00C10E2D">
        <w:rPr>
          <w:rFonts w:ascii="Arial" w:eastAsia="Times New Roman" w:hAnsi="Arial" w:cs="Arial"/>
          <w:sz w:val="16"/>
          <w:szCs w:val="16"/>
        </w:rPr>
        <w:t>healing.The</w:t>
      </w:r>
      <w:proofErr w:type="spellEnd"/>
      <w:r w:rsidRPr="00C10E2D">
        <w:rPr>
          <w:rFonts w:ascii="Arial" w:eastAsia="Times New Roman" w:hAnsi="Arial" w:cs="Arial"/>
          <w:sz w:val="16"/>
          <w:szCs w:val="16"/>
        </w:rPr>
        <w:t xml:space="preserve"> aim of this study was to investigate the effect of green tea consumption on weight changes , iron status and improving process of pulmonary tuberculosis treatment</w:t>
      </w:r>
      <w:r w:rsidR="00E54310" w:rsidRPr="00C10E2D">
        <w:rPr>
          <w:rFonts w:ascii="Arial" w:eastAsia="Times New Roman" w:hAnsi="Arial" w:cs="Arial"/>
          <w:sz w:val="16"/>
          <w:szCs w:val="16"/>
        </w:rPr>
        <w:t xml:space="preserve">. </w:t>
      </w:r>
      <w:r w:rsidRPr="00C10E2D">
        <w:rPr>
          <w:rFonts w:ascii="Arial" w:eastAsia="Times New Roman" w:hAnsi="Arial" w:cs="Arial"/>
          <w:sz w:val="16"/>
          <w:szCs w:val="16"/>
        </w:rPr>
        <w:t xml:space="preserve">This double-blinded randomized clinical trial </w:t>
      </w:r>
      <w:proofErr w:type="gramStart"/>
      <w:r w:rsidRPr="00C10E2D">
        <w:rPr>
          <w:rFonts w:ascii="Arial" w:eastAsia="Times New Roman" w:hAnsi="Arial" w:cs="Arial"/>
          <w:sz w:val="16"/>
          <w:szCs w:val="16"/>
        </w:rPr>
        <w:t>study,</w:t>
      </w:r>
      <w:proofErr w:type="gramEnd"/>
      <w:r w:rsidRPr="00C10E2D">
        <w:rPr>
          <w:rFonts w:ascii="Arial" w:eastAsia="Times New Roman" w:hAnsi="Arial" w:cs="Arial"/>
          <w:sz w:val="16"/>
          <w:szCs w:val="16"/>
        </w:rPr>
        <w:t xml:space="preserve"> was conducted on patients with TB, who were assigned randomly to the green tea group (41 patients) receiving 500 mg </w:t>
      </w:r>
      <w:proofErr w:type="spellStart"/>
      <w:r w:rsidRPr="00C10E2D">
        <w:rPr>
          <w:rFonts w:ascii="Arial" w:eastAsia="Times New Roman" w:hAnsi="Arial" w:cs="Arial"/>
          <w:sz w:val="16"/>
          <w:szCs w:val="16"/>
        </w:rPr>
        <w:t>catechin</w:t>
      </w:r>
      <w:proofErr w:type="spellEnd"/>
      <w:r w:rsidRPr="00C10E2D">
        <w:rPr>
          <w:rFonts w:ascii="Arial" w:eastAsia="Times New Roman" w:hAnsi="Arial" w:cs="Arial"/>
          <w:sz w:val="16"/>
          <w:szCs w:val="16"/>
        </w:rPr>
        <w:t xml:space="preserve"> of green tea extract and the control group (39 subjects) receiving placebo for two months since the beginning of concomitant anti-TB treatment</w:t>
      </w:r>
      <w:r w:rsidR="00E54310" w:rsidRPr="00C10E2D">
        <w:rPr>
          <w:rFonts w:ascii="Arial" w:eastAsia="Times New Roman" w:hAnsi="Arial" w:cs="Arial"/>
          <w:sz w:val="16"/>
          <w:szCs w:val="16"/>
        </w:rPr>
        <w:t>.</w:t>
      </w:r>
      <w:r w:rsidRPr="00C10E2D">
        <w:rPr>
          <w:rFonts w:ascii="Arial" w:eastAsia="Times New Roman" w:hAnsi="Arial" w:cs="Arial"/>
          <w:sz w:val="16"/>
          <w:szCs w:val="16"/>
        </w:rPr>
        <w:t xml:space="preserve"> Height and weight were measured at first and two and six months thereafter. </w:t>
      </w:r>
      <w:proofErr w:type="gramStart"/>
      <w:r w:rsidRPr="00C10E2D">
        <w:rPr>
          <w:rFonts w:ascii="Arial" w:eastAsia="Times New Roman" w:hAnsi="Arial" w:cs="Arial"/>
          <w:sz w:val="16"/>
          <w:szCs w:val="16"/>
        </w:rPr>
        <w:t>Demographic ,</w:t>
      </w:r>
      <w:proofErr w:type="gramEnd"/>
      <w:r w:rsidRPr="00C10E2D">
        <w:rPr>
          <w:rFonts w:ascii="Arial" w:eastAsia="Times New Roman" w:hAnsi="Arial" w:cs="Arial"/>
          <w:sz w:val="16"/>
          <w:szCs w:val="16"/>
        </w:rPr>
        <w:t xml:space="preserve"> food frequency questionnaires and  24-hour dietary recalls of three non-consecutive days were completed.  After obtaining 10 ml of venous blood, Hemoglobin (</w:t>
      </w:r>
      <w:proofErr w:type="spellStart"/>
      <w:r w:rsidRPr="00C10E2D">
        <w:rPr>
          <w:rFonts w:ascii="Arial" w:eastAsia="Times New Roman" w:hAnsi="Arial" w:cs="Arial"/>
          <w:sz w:val="16"/>
          <w:szCs w:val="16"/>
        </w:rPr>
        <w:t>Hb</w:t>
      </w:r>
      <w:proofErr w:type="spellEnd"/>
      <w:r w:rsidRPr="00C10E2D">
        <w:rPr>
          <w:rFonts w:ascii="Arial" w:eastAsia="Times New Roman" w:hAnsi="Arial" w:cs="Arial"/>
          <w:sz w:val="16"/>
          <w:szCs w:val="16"/>
        </w:rPr>
        <w:t xml:space="preserve">), Transferrin, Ferritin, Total iron binding capacity (TIBC), Iron and Serum </w:t>
      </w:r>
      <w:proofErr w:type="spellStart"/>
      <w:r w:rsidRPr="00C10E2D">
        <w:rPr>
          <w:rFonts w:ascii="Arial" w:eastAsia="Times New Roman" w:hAnsi="Arial" w:cs="Arial"/>
          <w:sz w:val="16"/>
          <w:szCs w:val="16"/>
        </w:rPr>
        <w:t>malondialdehyde</w:t>
      </w:r>
      <w:proofErr w:type="spellEnd"/>
      <w:r w:rsidRPr="00C10E2D">
        <w:rPr>
          <w:rFonts w:ascii="Arial" w:eastAsia="Times New Roman" w:hAnsi="Arial" w:cs="Arial"/>
          <w:sz w:val="16"/>
          <w:szCs w:val="16"/>
        </w:rPr>
        <w:t xml:space="preserve"> (MDA) were measured at the beginning and the end of the study. Data were processed using independent and paired t-test, </w:t>
      </w:r>
      <w:proofErr w:type="spellStart"/>
      <w:r w:rsidRPr="00C10E2D">
        <w:rPr>
          <w:rFonts w:ascii="Arial" w:eastAsia="Times New Roman" w:hAnsi="Arial" w:cs="Arial"/>
          <w:sz w:val="16"/>
          <w:szCs w:val="16"/>
        </w:rPr>
        <w:t>McNemar</w:t>
      </w:r>
      <w:proofErr w:type="spellEnd"/>
      <w:r w:rsidRPr="00C10E2D">
        <w:rPr>
          <w:rFonts w:ascii="Arial" w:eastAsia="Times New Roman" w:hAnsi="Arial" w:cs="Arial"/>
          <w:sz w:val="16"/>
          <w:szCs w:val="16"/>
        </w:rPr>
        <w:t>, Wilcoxon</w:t>
      </w:r>
      <w:r w:rsidR="00FA0603" w:rsidRPr="00C10E2D">
        <w:rPr>
          <w:rFonts w:ascii="Arial" w:eastAsia="Times New Roman" w:hAnsi="Arial" w:cs="Arial"/>
          <w:sz w:val="16"/>
          <w:szCs w:val="16"/>
        </w:rPr>
        <w:t xml:space="preserve">, Kaplan-Meier, Log-rank test </w:t>
      </w:r>
      <w:r w:rsidRPr="00C10E2D">
        <w:rPr>
          <w:rFonts w:ascii="Arial" w:eastAsia="Times New Roman" w:hAnsi="Arial" w:cs="Arial"/>
          <w:sz w:val="16"/>
          <w:szCs w:val="16"/>
        </w:rPr>
        <w:t>Cox reg</w:t>
      </w:r>
      <w:r w:rsidR="00FA0603" w:rsidRPr="00C10E2D">
        <w:rPr>
          <w:rFonts w:ascii="Arial" w:eastAsia="Times New Roman" w:hAnsi="Arial" w:cs="Arial"/>
          <w:sz w:val="16"/>
          <w:szCs w:val="16"/>
        </w:rPr>
        <w:t>ression model and nutrition4 sof</w:t>
      </w:r>
      <w:r w:rsidRPr="00C10E2D">
        <w:rPr>
          <w:rFonts w:ascii="Arial" w:eastAsia="Times New Roman" w:hAnsi="Arial" w:cs="Arial"/>
          <w:sz w:val="16"/>
          <w:szCs w:val="16"/>
        </w:rPr>
        <w:t xml:space="preserve">tware. </w:t>
      </w:r>
      <w:r w:rsidRPr="00C10E2D">
        <w:rPr>
          <w:rFonts w:ascii="Arial" w:eastAsia="Times New Roman" w:hAnsi="Arial" w:cs="Arial"/>
          <w:sz w:val="16"/>
          <w:szCs w:val="16"/>
        </w:rPr>
        <w:br/>
        <w:t xml:space="preserve">At the beginning of the survey, two groups were similar according to age, gender and clinical status (p&gt;0.05). Average daily energy intake of patients was 1518± 434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C10E2D">
        <w:rPr>
          <w:rFonts w:ascii="Arial" w:eastAsia="Times New Roman" w:hAnsi="Arial" w:cs="Arial"/>
          <w:sz w:val="16"/>
          <w:szCs w:val="16"/>
        </w:rPr>
        <w:t>follow</w:t>
      </w:r>
      <w:proofErr w:type="gramEnd"/>
      <w:r w:rsidRPr="00C10E2D">
        <w:rPr>
          <w:rFonts w:ascii="Arial" w:eastAsia="Times New Roman" w:hAnsi="Arial" w:cs="Arial"/>
          <w:sz w:val="16"/>
          <w:szCs w:val="16"/>
        </w:rPr>
        <w:t xml:space="preserve"> ups (p˂0.0001). However, there were no significant changes due to intervention compared to placebo. ANCOVA test showed mean difference level (</w:t>
      </w:r>
      <w:proofErr w:type="spellStart"/>
      <w:r w:rsidRPr="00C10E2D">
        <w:rPr>
          <w:rFonts w:ascii="Arial" w:eastAsia="Times New Roman" w:hAnsi="Arial" w:cs="Arial"/>
          <w:sz w:val="16"/>
          <w:szCs w:val="16"/>
        </w:rPr>
        <w:t>Pvalue</w:t>
      </w:r>
      <w:proofErr w:type="spellEnd"/>
      <w:r w:rsidRPr="00C10E2D">
        <w:rPr>
          <w:rFonts w:ascii="Arial" w:eastAsia="Times New Roman" w:hAnsi="Arial" w:cs="Arial"/>
          <w:sz w:val="16"/>
          <w:szCs w:val="16"/>
        </w:rPr>
        <w:t xml:space="preserve">) in both groups for </w:t>
      </w:r>
      <w:proofErr w:type="spellStart"/>
      <w:r w:rsidRPr="00C10E2D">
        <w:rPr>
          <w:rFonts w:ascii="Arial" w:eastAsia="Times New Roman" w:hAnsi="Arial" w:cs="Arial"/>
          <w:sz w:val="16"/>
          <w:szCs w:val="16"/>
        </w:rPr>
        <w:t>Hb</w:t>
      </w:r>
      <w:proofErr w:type="spellEnd"/>
      <w:r w:rsidRPr="00C10E2D">
        <w:rPr>
          <w:rFonts w:ascii="Arial" w:eastAsia="Times New Roman" w:hAnsi="Arial" w:cs="Arial"/>
          <w:sz w:val="16"/>
          <w:szCs w:val="16"/>
        </w:rPr>
        <w:t xml:space="preserve">, </w:t>
      </w:r>
      <w:r w:rsidR="00E54310" w:rsidRPr="00C10E2D">
        <w:rPr>
          <w:rFonts w:ascii="Arial" w:eastAsia="Times New Roman" w:hAnsi="Arial" w:cs="Arial"/>
          <w:sz w:val="16"/>
          <w:szCs w:val="16"/>
        </w:rPr>
        <w:t>iron, TIBC, transferrin and fer</w:t>
      </w:r>
      <w:r w:rsidRPr="00C10E2D">
        <w:rPr>
          <w:rFonts w:ascii="Arial" w:eastAsia="Times New Roman" w:hAnsi="Arial" w:cs="Arial"/>
          <w:sz w:val="16"/>
          <w:szCs w:val="16"/>
        </w:rPr>
        <w:t xml:space="preserve">ritin as of: 0.004, 0.56, 0.65, 0.38 and 0.16, respectively which means that increase of hemoglobin in the green tea group was significant compared to the placebo group. There was just a 9.2 </w:t>
      </w:r>
      <w:proofErr w:type="spellStart"/>
      <w:r w:rsidRPr="00C10E2D">
        <w:rPr>
          <w:rFonts w:ascii="Arial" w:eastAsia="Times New Roman" w:hAnsi="Arial" w:cs="Arial"/>
          <w:sz w:val="16"/>
          <w:szCs w:val="16"/>
        </w:rPr>
        <w:t>nmol</w:t>
      </w:r>
      <w:proofErr w:type="spellEnd"/>
      <w:r w:rsidRPr="00C10E2D">
        <w:rPr>
          <w:rFonts w:ascii="Arial" w:eastAsia="Times New Roman" w:hAnsi="Arial" w:cs="Arial"/>
          <w:sz w:val="16"/>
          <w:szCs w:val="16"/>
        </w:rPr>
        <w:t xml:space="preserve">/ml difference between the two groups for MDA at the beginning of study, which was not statistically significant (p=0.078) whereas, it was increased to 24.8 </w:t>
      </w:r>
      <w:proofErr w:type="spellStart"/>
      <w:r w:rsidRPr="00C10E2D">
        <w:rPr>
          <w:rFonts w:ascii="Arial" w:eastAsia="Times New Roman" w:hAnsi="Arial" w:cs="Arial"/>
          <w:sz w:val="16"/>
          <w:szCs w:val="16"/>
        </w:rPr>
        <w:t>nmol</w:t>
      </w:r>
      <w:proofErr w:type="spellEnd"/>
      <w:r w:rsidRPr="00C10E2D">
        <w:rPr>
          <w:rFonts w:ascii="Arial" w:eastAsia="Times New Roman" w:hAnsi="Arial" w:cs="Arial"/>
          <w:sz w:val="16"/>
          <w:szCs w:val="16"/>
        </w:rPr>
        <w:t xml:space="preserve">/ml after the intervention, indicating a significant difference (p&lt;0.001). The decline value was </w:t>
      </w:r>
      <w:proofErr w:type="gramStart"/>
      <w:r w:rsidRPr="00C10E2D">
        <w:rPr>
          <w:rFonts w:ascii="Arial" w:eastAsia="Times New Roman" w:hAnsi="Arial" w:cs="Arial"/>
          <w:sz w:val="16"/>
          <w:szCs w:val="16"/>
        </w:rPr>
        <w:t xml:space="preserve">estimated -45.45 ± 14.69 </w:t>
      </w:r>
      <w:proofErr w:type="spellStart"/>
      <w:r w:rsidRPr="00C10E2D">
        <w:rPr>
          <w:rFonts w:ascii="Arial" w:eastAsia="Times New Roman" w:hAnsi="Arial" w:cs="Arial"/>
          <w:sz w:val="16"/>
          <w:szCs w:val="16"/>
        </w:rPr>
        <w:t>nmol</w:t>
      </w:r>
      <w:proofErr w:type="spellEnd"/>
      <w:r w:rsidRPr="00C10E2D">
        <w:rPr>
          <w:rFonts w:ascii="Arial" w:eastAsia="Times New Roman" w:hAnsi="Arial" w:cs="Arial"/>
          <w:sz w:val="16"/>
          <w:szCs w:val="16"/>
        </w:rPr>
        <w:t xml:space="preserve">/ml for </w:t>
      </w:r>
      <w:proofErr w:type="spellStart"/>
      <w:r w:rsidRPr="00C10E2D">
        <w:rPr>
          <w:rFonts w:ascii="Arial" w:eastAsia="Times New Roman" w:hAnsi="Arial" w:cs="Arial"/>
          <w:sz w:val="16"/>
          <w:szCs w:val="16"/>
        </w:rPr>
        <w:t>catechin</w:t>
      </w:r>
      <w:proofErr w:type="spellEnd"/>
      <w:r w:rsidRPr="00C10E2D">
        <w:rPr>
          <w:rFonts w:ascii="Arial" w:eastAsia="Times New Roman" w:hAnsi="Arial" w:cs="Arial"/>
          <w:sz w:val="16"/>
          <w:szCs w:val="16"/>
        </w:rPr>
        <w:t xml:space="preserve"> group</w:t>
      </w:r>
      <w:proofErr w:type="gramEnd"/>
      <w:r w:rsidRPr="00C10E2D">
        <w:rPr>
          <w:rFonts w:ascii="Arial" w:eastAsia="Times New Roman" w:hAnsi="Arial" w:cs="Arial"/>
          <w:sz w:val="16"/>
          <w:szCs w:val="16"/>
        </w:rPr>
        <w:t xml:space="preserve"> and -19.91 ± 18.38 </w:t>
      </w:r>
      <w:proofErr w:type="spellStart"/>
      <w:r w:rsidRPr="00C10E2D">
        <w:rPr>
          <w:rFonts w:ascii="Arial" w:eastAsia="Times New Roman" w:hAnsi="Arial" w:cs="Arial"/>
          <w:sz w:val="16"/>
          <w:szCs w:val="16"/>
        </w:rPr>
        <w:t>nmol</w:t>
      </w:r>
      <w:proofErr w:type="spellEnd"/>
      <w:r w:rsidRPr="00C10E2D">
        <w:rPr>
          <w:rFonts w:ascii="Arial" w:eastAsia="Times New Roman" w:hAnsi="Arial" w:cs="Arial"/>
          <w:sz w:val="16"/>
          <w:szCs w:val="16"/>
        </w:rPr>
        <w:t>/ml for placebo gro</w:t>
      </w:r>
      <w:r w:rsidR="006F098B" w:rsidRPr="00C10E2D">
        <w:rPr>
          <w:rFonts w:ascii="Arial" w:eastAsia="Times New Roman" w:hAnsi="Arial" w:cs="Arial"/>
          <w:sz w:val="16"/>
          <w:szCs w:val="16"/>
        </w:rPr>
        <w:t xml:space="preserve">up. </w:t>
      </w:r>
      <w:r w:rsidR="00555052" w:rsidRPr="00C10E2D">
        <w:rPr>
          <w:rFonts w:ascii="Arial" w:eastAsia="Times New Roman" w:hAnsi="Arial" w:cs="Arial"/>
          <w:sz w:val="16"/>
          <w:szCs w:val="16"/>
        </w:rPr>
        <w:t xml:space="preserve">In </w:t>
      </w:r>
      <w:proofErr w:type="spellStart"/>
      <w:r w:rsidR="00555052" w:rsidRPr="00C10E2D">
        <w:rPr>
          <w:rFonts w:ascii="Arial" w:eastAsia="Times New Roman" w:hAnsi="Arial" w:cs="Arial"/>
          <w:sz w:val="16"/>
          <w:szCs w:val="16"/>
        </w:rPr>
        <w:t>conclusion:</w:t>
      </w:r>
      <w:r w:rsidR="00E54310" w:rsidRPr="00C10E2D">
        <w:rPr>
          <w:rFonts w:ascii="Arial" w:eastAsia="Times New Roman" w:hAnsi="Arial" w:cs="Arial"/>
          <w:sz w:val="16"/>
          <w:szCs w:val="16"/>
        </w:rPr>
        <w:t>Green</w:t>
      </w:r>
      <w:proofErr w:type="spellEnd"/>
      <w:r w:rsidR="00E54310" w:rsidRPr="00C10E2D">
        <w:rPr>
          <w:rFonts w:ascii="Arial" w:eastAsia="Times New Roman" w:hAnsi="Arial" w:cs="Arial"/>
          <w:sz w:val="16"/>
          <w:szCs w:val="16"/>
        </w:rPr>
        <w:t xml:space="preserve"> tea as an adjuvant to</w:t>
      </w:r>
      <w:r w:rsidRPr="00C10E2D">
        <w:rPr>
          <w:rFonts w:ascii="Arial" w:eastAsia="Times New Roman" w:hAnsi="Arial" w:cs="Arial"/>
          <w:sz w:val="16"/>
          <w:szCs w:val="16"/>
        </w:rPr>
        <w:t>TB treatment can</w:t>
      </w:r>
      <w:r w:rsidR="00E54310" w:rsidRPr="00C10E2D">
        <w:rPr>
          <w:rFonts w:ascii="Arial" w:eastAsia="Times New Roman" w:hAnsi="Arial" w:cs="Arial"/>
          <w:sz w:val="16"/>
          <w:szCs w:val="16"/>
        </w:rPr>
        <w:t xml:space="preserve"> </w:t>
      </w:r>
      <w:r w:rsidRPr="00C10E2D">
        <w:rPr>
          <w:rFonts w:ascii="Arial" w:eastAsia="Times New Roman" w:hAnsi="Arial" w:cs="Arial"/>
          <w:sz w:val="16"/>
          <w:szCs w:val="16"/>
        </w:rPr>
        <w:t xml:space="preserve">reduce  MDA  concentration and improve  hematopoiesis and hemoglobin </w:t>
      </w:r>
      <w:proofErr w:type="spellStart"/>
      <w:r w:rsidRPr="00C10E2D">
        <w:rPr>
          <w:rFonts w:ascii="Arial" w:eastAsia="Times New Roman" w:hAnsi="Arial" w:cs="Arial"/>
          <w:sz w:val="16"/>
          <w:szCs w:val="16"/>
        </w:rPr>
        <w:t>level,but</w:t>
      </w:r>
      <w:proofErr w:type="spellEnd"/>
      <w:r w:rsidRPr="00C10E2D">
        <w:rPr>
          <w:rFonts w:ascii="Arial" w:eastAsia="Times New Roman" w:hAnsi="Arial" w:cs="Arial"/>
          <w:sz w:val="16"/>
          <w:szCs w:val="16"/>
        </w:rPr>
        <w:t xml:space="preserve"> no significant effect on </w:t>
      </w:r>
      <w:r w:rsidR="00525814" w:rsidRPr="00C10E2D">
        <w:rPr>
          <w:rFonts w:ascii="Arial" w:eastAsia="Times New Roman" w:hAnsi="Arial" w:cs="Arial"/>
          <w:sz w:val="16"/>
          <w:szCs w:val="16"/>
        </w:rPr>
        <w:t xml:space="preserve">weight gain compared to placebo </w:t>
      </w:r>
      <w:r w:rsidRPr="00C10E2D">
        <w:rPr>
          <w:rFonts w:ascii="Arial" w:eastAsia="Times New Roman" w:hAnsi="Arial" w:cs="Arial"/>
          <w:sz w:val="16"/>
          <w:szCs w:val="16"/>
        </w:rPr>
        <w:t xml:space="preserve">group.  </w:t>
      </w:r>
      <w:r w:rsidRPr="00C10E2D">
        <w:rPr>
          <w:rFonts w:ascii="Arial" w:eastAsia="Times New Roman" w:hAnsi="Arial" w:cs="Arial"/>
          <w:sz w:val="16"/>
          <w:szCs w:val="16"/>
        </w:rPr>
        <w:br/>
      </w:r>
      <w:r w:rsidR="00DB72E8">
        <w:rPr>
          <w:rFonts w:ascii="Arial" w:eastAsia="Times New Roman" w:hAnsi="Arial" w:cs="Arial"/>
          <w:sz w:val="16"/>
          <w:szCs w:val="16"/>
        </w:rPr>
        <w:t>Recent Publications:</w:t>
      </w:r>
    </w:p>
    <w:p w:rsidR="00E7278A" w:rsidRPr="00877558" w:rsidRDefault="00E7278A" w:rsidP="00E7278A">
      <w:pPr>
        <w:spacing w:after="0" w:line="240" w:lineRule="auto"/>
        <w:ind w:right="-567"/>
        <w:rPr>
          <w:rFonts w:ascii="Times New Roman" w:eastAsia="Times New Roman" w:hAnsi="Times New Roman" w:cs="Traditional Arabic"/>
          <w:noProof/>
          <w:sz w:val="16"/>
          <w:szCs w:val="16"/>
        </w:rPr>
      </w:pPr>
      <w:r w:rsidRPr="00877558">
        <w:rPr>
          <w:rFonts w:ascii="Times New Roman" w:eastAsia="Times New Roman" w:hAnsi="Times New Roman" w:cs="Traditional Arabic"/>
          <w:b/>
          <w:bCs/>
          <w:noProof/>
          <w:sz w:val="16"/>
          <w:szCs w:val="16"/>
        </w:rPr>
        <w:t>1-</w:t>
      </w:r>
      <w:r w:rsidRPr="00877558">
        <w:rPr>
          <w:rFonts w:ascii="Times New Roman" w:eastAsia="Times New Roman" w:hAnsi="Times New Roman" w:cs="Traditional Arabic"/>
          <w:noProof/>
          <w:sz w:val="16"/>
          <w:szCs w:val="16"/>
        </w:rPr>
        <w:t>Honarvar MR, Eghtesadi S, Gill S, Jazayeri S, Vakili MA, Shamsardakani MR, Abbasi A.The effect of green tea extract supplementation on sputum smear conversion and weight changes in pulmonary TB patients:A randomized controlled trial.Medical Journal of Islamic Republic of Iran(MJIRI) 2016(1 June).Vol.30:381.</w:t>
      </w:r>
    </w:p>
    <w:p w:rsidR="00E7278A" w:rsidRPr="00877558" w:rsidRDefault="00E7278A" w:rsidP="00E7278A">
      <w:pPr>
        <w:spacing w:after="0" w:line="240" w:lineRule="auto"/>
        <w:ind w:right="-567"/>
        <w:rPr>
          <w:rFonts w:ascii="Times New Roman" w:eastAsia="Times New Roman" w:hAnsi="Times New Roman" w:cs="Traditional Arabic"/>
          <w:noProof/>
          <w:sz w:val="16"/>
          <w:szCs w:val="16"/>
        </w:rPr>
      </w:pPr>
      <w:r w:rsidRPr="00877558">
        <w:rPr>
          <w:rFonts w:ascii="Times New Roman" w:eastAsia="Times New Roman" w:hAnsi="Times New Roman" w:cs="Traditional Arabic"/>
          <w:noProof/>
          <w:sz w:val="16"/>
          <w:szCs w:val="16"/>
        </w:rPr>
        <w:t>2-Javadi F,Ahmadzadeh A,Eghtesadi S,Aryaeian N,Zabihiyegneh M,Rahimi Foroushani A,Jazayeri S. The Effect of Quercetin on Inflammatory Factors and Clinical Symptoms in Women with Rheumatoid Arthritis: A Double Blind Randomized Controlled Trial.Journal of American College of Nutrition,October,2016.</w:t>
      </w:r>
    </w:p>
    <w:p w:rsidR="00E7278A" w:rsidRPr="00566278" w:rsidRDefault="00E7278A" w:rsidP="00E7278A">
      <w:pPr>
        <w:spacing w:after="0" w:line="240" w:lineRule="auto"/>
        <w:ind w:right="-567"/>
        <w:rPr>
          <w:rFonts w:ascii="Times New Roman" w:eastAsia="Times New Roman" w:hAnsi="Times New Roman" w:cs="Times New Roman"/>
          <w:noProof/>
          <w:sz w:val="16"/>
          <w:szCs w:val="16"/>
        </w:rPr>
      </w:pPr>
      <w:r w:rsidRPr="00877558">
        <w:rPr>
          <w:rFonts w:ascii="Times New Roman" w:eastAsia="Times New Roman" w:hAnsi="Times New Roman" w:cs="Times New Roman"/>
          <w:b/>
          <w:bCs/>
          <w:noProof/>
          <w:sz w:val="16"/>
          <w:szCs w:val="16"/>
        </w:rPr>
        <w:t>3-</w:t>
      </w:r>
      <w:r w:rsidRPr="00566278">
        <w:rPr>
          <w:rFonts w:ascii="Times New Roman" w:eastAsia="Times New Roman" w:hAnsi="Times New Roman" w:cs="Times New Roman"/>
          <w:noProof/>
          <w:sz w:val="16"/>
          <w:szCs w:val="16"/>
        </w:rPr>
        <w:t>Mohammadi V, Khalili M,Eghtesadi S,Dehghani S, Jazayeri S,Aghababaaee SK, Sabor H, Saberi H, Eghtesadi M and Gohari MR.The effect of alpha- lipoic acid (ALA) supplementation on cardiovascular risk factors in men with chronic spinal cord injury:a clinical trial.Spinal Cord ,2015,35.</w:t>
      </w:r>
    </w:p>
    <w:p w:rsidR="00E7278A" w:rsidRPr="005C2295" w:rsidRDefault="00E7278A" w:rsidP="00E7278A">
      <w:pPr>
        <w:spacing w:after="0" w:line="240" w:lineRule="auto"/>
        <w:ind w:right="-567"/>
        <w:rPr>
          <w:rFonts w:ascii="Times New Roman" w:eastAsia="Times New Roman" w:hAnsi="Times New Roman" w:cs="Times New Roman"/>
          <w:noProof/>
          <w:sz w:val="16"/>
          <w:szCs w:val="16"/>
        </w:rPr>
      </w:pPr>
      <w:r w:rsidRPr="00877558">
        <w:rPr>
          <w:rFonts w:ascii="Times New Roman" w:eastAsia="Times New Roman" w:hAnsi="Times New Roman" w:cs="Times New Roman"/>
          <w:noProof/>
          <w:sz w:val="16"/>
          <w:szCs w:val="16"/>
        </w:rPr>
        <w:t>4-</w:t>
      </w:r>
      <w:r w:rsidRPr="005C2295">
        <w:rPr>
          <w:rFonts w:ascii="Times New Roman" w:eastAsia="Times New Roman" w:hAnsi="Times New Roman" w:cs="Times New Roman"/>
          <w:noProof/>
          <w:sz w:val="16"/>
          <w:szCs w:val="16"/>
        </w:rPr>
        <w:t>Amiri-Moghadam S, Nematy M, Eghtesadi S, Khalili M, Mojarrad M, Jazayeri S, Vosooghinia H, Khosravi A , Salehi M and Beheshti- Namdar A.Effects of L-Carnitine Supplementation on Body Composition in Patients with Nonalcoholic Steatohepatis(NASH). Current Topics in Neutraceutical Research(CTNR),Vol.13,No.2,2015.</w:t>
      </w:r>
    </w:p>
    <w:p w:rsidR="00DE6210" w:rsidRDefault="00E7278A" w:rsidP="00DE6210">
      <w:pPr>
        <w:rPr>
          <w:sz w:val="16"/>
          <w:szCs w:val="16"/>
        </w:rPr>
      </w:pPr>
      <w:r w:rsidRPr="00877558">
        <w:rPr>
          <w:b/>
          <w:bCs/>
          <w:sz w:val="16"/>
          <w:szCs w:val="16"/>
        </w:rPr>
        <w:t>5-</w:t>
      </w:r>
      <w:r w:rsidRPr="00877558">
        <w:rPr>
          <w:sz w:val="16"/>
          <w:szCs w:val="16"/>
        </w:rPr>
        <w:t xml:space="preserve">Sanoobar M, </w:t>
      </w:r>
      <w:proofErr w:type="spellStart"/>
      <w:r w:rsidRPr="00877558">
        <w:rPr>
          <w:sz w:val="16"/>
          <w:szCs w:val="16"/>
        </w:rPr>
        <w:t>Eghtesadi</w:t>
      </w:r>
      <w:proofErr w:type="spellEnd"/>
      <w:r w:rsidRPr="00877558">
        <w:rPr>
          <w:sz w:val="16"/>
          <w:szCs w:val="16"/>
        </w:rPr>
        <w:t xml:space="preserve"> S, </w:t>
      </w:r>
      <w:proofErr w:type="spellStart"/>
      <w:r w:rsidRPr="00877558">
        <w:rPr>
          <w:sz w:val="16"/>
          <w:szCs w:val="16"/>
        </w:rPr>
        <w:t>Azimi</w:t>
      </w:r>
      <w:proofErr w:type="spellEnd"/>
      <w:r w:rsidRPr="00877558">
        <w:rPr>
          <w:sz w:val="16"/>
          <w:szCs w:val="16"/>
        </w:rPr>
        <w:t xml:space="preserve"> A, </w:t>
      </w:r>
      <w:proofErr w:type="spellStart"/>
      <w:r w:rsidRPr="00877558">
        <w:rPr>
          <w:sz w:val="16"/>
          <w:szCs w:val="16"/>
        </w:rPr>
        <w:t>Khalili</w:t>
      </w:r>
      <w:proofErr w:type="spellEnd"/>
      <w:r w:rsidRPr="00877558">
        <w:rPr>
          <w:sz w:val="16"/>
          <w:szCs w:val="16"/>
        </w:rPr>
        <w:t xml:space="preserve"> M, </w:t>
      </w:r>
      <w:proofErr w:type="spellStart"/>
      <w:r w:rsidRPr="00877558">
        <w:rPr>
          <w:sz w:val="16"/>
          <w:szCs w:val="16"/>
        </w:rPr>
        <w:t>Khodadadi</w:t>
      </w:r>
      <w:proofErr w:type="spellEnd"/>
      <w:r w:rsidRPr="00877558">
        <w:rPr>
          <w:sz w:val="16"/>
          <w:szCs w:val="16"/>
        </w:rPr>
        <w:t xml:space="preserve"> B ,</w:t>
      </w:r>
      <w:proofErr w:type="spellStart"/>
      <w:r w:rsidRPr="00877558">
        <w:rPr>
          <w:sz w:val="16"/>
          <w:szCs w:val="16"/>
        </w:rPr>
        <w:t>Jazayeri</w:t>
      </w:r>
      <w:proofErr w:type="spellEnd"/>
      <w:r w:rsidRPr="00877558">
        <w:rPr>
          <w:sz w:val="16"/>
          <w:szCs w:val="16"/>
        </w:rPr>
        <w:t xml:space="preserve"> S, </w:t>
      </w:r>
      <w:proofErr w:type="spellStart"/>
      <w:r w:rsidRPr="00877558">
        <w:rPr>
          <w:sz w:val="16"/>
          <w:szCs w:val="16"/>
        </w:rPr>
        <w:t>Gohari</w:t>
      </w:r>
      <w:proofErr w:type="spellEnd"/>
      <w:r w:rsidRPr="00877558">
        <w:rPr>
          <w:sz w:val="16"/>
          <w:szCs w:val="16"/>
        </w:rPr>
        <w:t xml:space="preserve"> MR, </w:t>
      </w:r>
      <w:proofErr w:type="spellStart"/>
      <w:r w:rsidRPr="00877558">
        <w:rPr>
          <w:sz w:val="16"/>
          <w:szCs w:val="16"/>
        </w:rPr>
        <w:t>Aryaeian</w:t>
      </w:r>
      <w:proofErr w:type="spellEnd"/>
      <w:r w:rsidRPr="00877558">
        <w:rPr>
          <w:sz w:val="16"/>
          <w:szCs w:val="16"/>
        </w:rPr>
        <w:t xml:space="preserve"> N. Coenzyme Q10 Supplementation Ameliorates Inflammatory Markers in Patients with Multiple </w:t>
      </w:r>
      <w:proofErr w:type="spellStart"/>
      <w:r w:rsidRPr="00877558">
        <w:rPr>
          <w:sz w:val="16"/>
          <w:szCs w:val="16"/>
        </w:rPr>
        <w:t>Sclerosis:a</w:t>
      </w:r>
      <w:proofErr w:type="spellEnd"/>
      <w:r w:rsidRPr="00877558">
        <w:rPr>
          <w:sz w:val="16"/>
          <w:szCs w:val="16"/>
        </w:rPr>
        <w:t xml:space="preserve"> double blind ,</w:t>
      </w:r>
      <w:proofErr w:type="spellStart"/>
      <w:r w:rsidRPr="00877558">
        <w:rPr>
          <w:sz w:val="16"/>
          <w:szCs w:val="16"/>
        </w:rPr>
        <w:t>placebo,controlled</w:t>
      </w:r>
      <w:proofErr w:type="spellEnd"/>
      <w:r w:rsidRPr="00877558">
        <w:rPr>
          <w:sz w:val="16"/>
          <w:szCs w:val="16"/>
        </w:rPr>
        <w:t xml:space="preserve"> randomized clinical </w:t>
      </w:r>
      <w:proofErr w:type="spellStart"/>
      <w:r w:rsidRPr="00877558">
        <w:rPr>
          <w:sz w:val="16"/>
          <w:szCs w:val="16"/>
        </w:rPr>
        <w:t>trial.Journal</w:t>
      </w:r>
      <w:proofErr w:type="spellEnd"/>
      <w:r w:rsidRPr="00877558">
        <w:rPr>
          <w:sz w:val="16"/>
          <w:szCs w:val="16"/>
        </w:rPr>
        <w:t xml:space="preserve"> of  </w:t>
      </w:r>
      <w:proofErr w:type="spellStart"/>
      <w:r w:rsidRPr="00877558">
        <w:rPr>
          <w:sz w:val="16"/>
          <w:szCs w:val="16"/>
        </w:rPr>
        <w:t>Nutitional</w:t>
      </w:r>
      <w:proofErr w:type="spellEnd"/>
      <w:r w:rsidRPr="00877558">
        <w:rPr>
          <w:sz w:val="16"/>
          <w:szCs w:val="16"/>
        </w:rPr>
        <w:t xml:space="preserve"> Neuroscience,2015,May10;18(4):169-7</w:t>
      </w:r>
      <w:r w:rsidR="00DE6210">
        <w:rPr>
          <w:sz w:val="16"/>
          <w:szCs w:val="16"/>
        </w:rPr>
        <w:t>6</w:t>
      </w:r>
    </w:p>
    <w:p w:rsidR="007E6D6E" w:rsidRDefault="00DE6210" w:rsidP="007E6D6E">
      <w:pPr>
        <w:rPr>
          <w:rStyle w:val="A18"/>
          <w:b/>
          <w:bCs/>
          <w:sz w:val="16"/>
          <w:szCs w:val="16"/>
        </w:rPr>
      </w:pPr>
      <w:r>
        <w:rPr>
          <w:rStyle w:val="A18"/>
          <w:b/>
          <w:bCs/>
          <w:sz w:val="16"/>
          <w:szCs w:val="16"/>
        </w:rPr>
        <w:t xml:space="preserve"> </w:t>
      </w:r>
      <w:r>
        <w:rPr>
          <w:noProof/>
          <w:sz w:val="16"/>
          <w:szCs w:val="16"/>
        </w:rPr>
        <w:drawing>
          <wp:inline distT="0" distB="0" distL="0" distR="0" wp14:anchorId="16A7C86F" wp14:editId="3DC0F75B">
            <wp:extent cx="657225" cy="485775"/>
            <wp:effectExtent l="0" t="0" r="9525" b="9525"/>
            <wp:docPr id="2" name="Picture 2"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DE6210">
        <w:rPr>
          <w:rStyle w:val="A18"/>
          <w:b/>
          <w:bCs/>
          <w:sz w:val="16"/>
          <w:szCs w:val="16"/>
        </w:rPr>
        <w:t xml:space="preserve"> </w:t>
      </w:r>
      <w:r>
        <w:rPr>
          <w:rStyle w:val="A18"/>
          <w:b/>
          <w:bCs/>
          <w:sz w:val="16"/>
          <w:szCs w:val="16"/>
        </w:rPr>
        <w:t xml:space="preserve">      </w:t>
      </w:r>
      <w:r w:rsidR="007E6D6E">
        <w:rPr>
          <w:rStyle w:val="A18"/>
          <w:b/>
          <w:bCs/>
          <w:sz w:val="16"/>
          <w:szCs w:val="16"/>
        </w:rPr>
        <w:t>Biography</w:t>
      </w:r>
      <w:bookmarkStart w:id="0" w:name="_GoBack"/>
      <w:bookmarkEnd w:id="0"/>
    </w:p>
    <w:p w:rsidR="00563DF5" w:rsidRPr="007E6D6E" w:rsidRDefault="00563DF5" w:rsidP="007E6D6E">
      <w:pPr>
        <w:rPr>
          <w:sz w:val="16"/>
          <w:szCs w:val="16"/>
        </w:rPr>
      </w:pPr>
      <w:r w:rsidRPr="0087014F">
        <w:rPr>
          <w:rStyle w:val="A18"/>
          <w:rFonts w:ascii="Adobe Caslon Pro" w:hAnsi="Adobe Caslon Pro" w:cs="Adobe Caslon Pro"/>
          <w:sz w:val="16"/>
          <w:szCs w:val="16"/>
        </w:rPr>
        <w:t xml:space="preserve">Dr. Shahryar </w:t>
      </w:r>
      <w:proofErr w:type="spellStart"/>
      <w:r w:rsidRPr="0087014F">
        <w:rPr>
          <w:rStyle w:val="A18"/>
          <w:rFonts w:ascii="Adobe Caslon Pro" w:hAnsi="Adobe Caslon Pro" w:cs="Adobe Caslon Pro"/>
          <w:sz w:val="16"/>
          <w:szCs w:val="16"/>
        </w:rPr>
        <w:t>Eghtesadi</w:t>
      </w:r>
      <w:proofErr w:type="spellEnd"/>
      <w:r w:rsidRPr="0087014F">
        <w:rPr>
          <w:rStyle w:val="A18"/>
          <w:rFonts w:ascii="Adobe Caslon Pro" w:hAnsi="Adobe Caslon Pro" w:cs="Adobe Caslon Pro"/>
          <w:sz w:val="16"/>
          <w:szCs w:val="16"/>
        </w:rPr>
        <w:t xml:space="preserve"> </w:t>
      </w:r>
      <w:r w:rsidR="000A27DB"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received Bachelor degree in Nutrition Science and Food Chemistry 1975, from </w:t>
      </w:r>
      <w:proofErr w:type="spellStart"/>
      <w:r w:rsidRPr="0087014F">
        <w:rPr>
          <w:rStyle w:val="A18"/>
          <w:rFonts w:ascii="Adobe Caslon Pro" w:hAnsi="Adobe Caslon Pro" w:cs="Adobe Caslon Pro"/>
          <w:sz w:val="16"/>
          <w:szCs w:val="16"/>
        </w:rPr>
        <w:t>Shahid</w:t>
      </w:r>
      <w:proofErr w:type="spellEnd"/>
      <w:r w:rsidRPr="0087014F">
        <w:rPr>
          <w:rStyle w:val="A18"/>
          <w:rFonts w:ascii="Adobe Caslon Pro" w:hAnsi="Adobe Caslon Pro" w:cs="Adobe Caslon Pro"/>
          <w:sz w:val="16"/>
          <w:szCs w:val="16"/>
        </w:rPr>
        <w:t xml:space="preserve"> </w:t>
      </w:r>
      <w:proofErr w:type="spellStart"/>
      <w:r w:rsidRPr="0087014F">
        <w:rPr>
          <w:rStyle w:val="A18"/>
          <w:rFonts w:ascii="Adobe Caslon Pro" w:hAnsi="Adobe Caslon Pro" w:cs="Adobe Caslon Pro"/>
          <w:sz w:val="16"/>
          <w:szCs w:val="16"/>
        </w:rPr>
        <w:t>Beheshti</w:t>
      </w:r>
      <w:proofErr w:type="spellEnd"/>
      <w:r w:rsidRPr="0087014F">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w:t>
      </w:r>
      <w:r w:rsidR="00464795"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California at Davis(UCD</w:t>
      </w:r>
      <w:r w:rsidR="00464795" w:rsidRPr="0087014F">
        <w:rPr>
          <w:rStyle w:val="A18"/>
          <w:rFonts w:ascii="Adobe Caslon Pro" w:hAnsi="Adobe Caslon Pro" w:cs="Adobe Caslon Pro"/>
          <w:sz w:val="16"/>
          <w:szCs w:val="16"/>
        </w:rPr>
        <w:t xml:space="preserve">), USA, in Nutrition (1985). </w:t>
      </w:r>
      <w:proofErr w:type="gramStart"/>
      <w:r w:rsidR="00464795" w:rsidRPr="0087014F">
        <w:rPr>
          <w:rStyle w:val="A18"/>
          <w:rFonts w:ascii="Adobe Caslon Pro" w:hAnsi="Adobe Caslon Pro" w:cs="Adobe Caslon Pro"/>
          <w:sz w:val="16"/>
          <w:szCs w:val="16"/>
        </w:rPr>
        <w:t xml:space="preserve">He </w:t>
      </w:r>
      <w:r w:rsidRPr="0087014F">
        <w:rPr>
          <w:rStyle w:val="A18"/>
          <w:rFonts w:ascii="Adobe Caslon Pro" w:hAnsi="Adobe Caslon Pro" w:cs="Adobe Caslon Pro"/>
          <w:sz w:val="16"/>
          <w:szCs w:val="16"/>
        </w:rPr>
        <w:t xml:space="preserve"> served</w:t>
      </w:r>
      <w:proofErr w:type="gramEnd"/>
      <w:r w:rsidRPr="0087014F">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w:t>
      </w:r>
      <w:r w:rsidR="00464795" w:rsidRPr="0087014F">
        <w:rPr>
          <w:rStyle w:val="A18"/>
          <w:rFonts w:ascii="Adobe Caslon Pro" w:hAnsi="Adobe Caslon Pro" w:cs="Adobe Caslon Pro"/>
          <w:sz w:val="16"/>
          <w:szCs w:val="16"/>
        </w:rPr>
        <w:t xml:space="preserve">cal Sciences and currently serves  as Professor </w:t>
      </w:r>
      <w:r w:rsidR="000A27DB" w:rsidRPr="0087014F">
        <w:rPr>
          <w:rStyle w:val="A18"/>
          <w:rFonts w:ascii="Adobe Caslon Pro" w:hAnsi="Adobe Caslon Pro" w:cs="Adobe Caslon Pro"/>
          <w:sz w:val="16"/>
          <w:szCs w:val="16"/>
        </w:rPr>
        <w:t>of</w:t>
      </w:r>
      <w:r w:rsidRPr="0087014F">
        <w:rPr>
          <w:rStyle w:val="A18"/>
          <w:rFonts w:ascii="Adobe Caslon Pro" w:hAnsi="Adobe Caslon Pro" w:cs="Adobe Caslon Pro"/>
          <w:sz w:val="16"/>
          <w:szCs w:val="16"/>
        </w:rPr>
        <w:t xml:space="preserve"> Azad University, Science &amp; Resear</w:t>
      </w:r>
      <w:r w:rsidR="00464795" w:rsidRPr="0087014F">
        <w:rPr>
          <w:rStyle w:val="A18"/>
          <w:rFonts w:ascii="Adobe Caslon Pro" w:hAnsi="Adobe Caslon Pro" w:cs="Adobe Caslon Pro"/>
          <w:sz w:val="16"/>
          <w:szCs w:val="16"/>
        </w:rPr>
        <w:t xml:space="preserve">ch Branch, . </w:t>
      </w:r>
      <w:proofErr w:type="gramStart"/>
      <w:r w:rsidR="00464795" w:rsidRPr="0087014F">
        <w:rPr>
          <w:rStyle w:val="A18"/>
          <w:rFonts w:ascii="Adobe Caslon Pro" w:hAnsi="Adobe Caslon Pro" w:cs="Adobe Caslon Pro"/>
          <w:sz w:val="16"/>
          <w:szCs w:val="16"/>
        </w:rPr>
        <w:t xml:space="preserve">He </w:t>
      </w:r>
      <w:r w:rsidRPr="0087014F">
        <w:rPr>
          <w:rStyle w:val="A18"/>
          <w:rFonts w:ascii="Adobe Caslon Pro" w:hAnsi="Adobe Caslon Pro" w:cs="Adobe Caslon Pro"/>
          <w:sz w:val="16"/>
          <w:szCs w:val="16"/>
        </w:rPr>
        <w:t xml:space="preserve"> was</w:t>
      </w:r>
      <w:proofErr w:type="gramEnd"/>
      <w:r w:rsidRPr="0087014F">
        <w:rPr>
          <w:rStyle w:val="A18"/>
          <w:rFonts w:ascii="Adobe Caslon Pro" w:hAnsi="Adobe Caslon Pro" w:cs="Adobe Caslon Pro"/>
          <w:sz w:val="16"/>
          <w:szCs w:val="16"/>
        </w:rPr>
        <w:t xml:space="preserve"> the chair</w:t>
      </w:r>
      <w:r w:rsidR="00464795" w:rsidRPr="0087014F">
        <w:rPr>
          <w:rStyle w:val="A18"/>
          <w:rFonts w:ascii="Adobe Caslon Pro" w:hAnsi="Adobe Caslon Pro" w:cs="Adobe Caslon Pro"/>
          <w:sz w:val="16"/>
          <w:szCs w:val="16"/>
        </w:rPr>
        <w:t xml:space="preserve">s </w:t>
      </w:r>
      <w:r w:rsidRPr="0087014F">
        <w:rPr>
          <w:rStyle w:val="A18"/>
          <w:rFonts w:ascii="Adobe Caslon Pro" w:hAnsi="Adobe Caslon Pro" w:cs="Adobe Caslon Pro"/>
          <w:sz w:val="16"/>
          <w:szCs w:val="16"/>
        </w:rPr>
        <w:t>of Department</w:t>
      </w:r>
      <w:r w:rsidR="000A27DB" w:rsidRPr="0087014F">
        <w:rPr>
          <w:rStyle w:val="A18"/>
          <w:rFonts w:ascii="Adobe Caslon Pro" w:hAnsi="Adobe Caslon Pro" w:cs="Adobe Caslon Pro"/>
          <w:sz w:val="16"/>
          <w:szCs w:val="16"/>
        </w:rPr>
        <w:t>s</w:t>
      </w:r>
      <w:r w:rsidRPr="0087014F">
        <w:rPr>
          <w:rStyle w:val="A18"/>
          <w:rFonts w:ascii="Adobe Caslon Pro" w:hAnsi="Adobe Caslon Pro" w:cs="Adobe Caslon Pro"/>
          <w:sz w:val="16"/>
          <w:szCs w:val="16"/>
        </w:rPr>
        <w:t xml:space="preserve"> of Nutrition and Biochemistry, Biochemistry &amp; Clinical Nutrition, Public Health Nutrition and Nutrition</w:t>
      </w:r>
      <w:r w:rsidR="00464795" w:rsidRPr="0087014F">
        <w:rPr>
          <w:rStyle w:val="A18"/>
          <w:rFonts w:ascii="Adobe Caslon Pro" w:hAnsi="Adobe Caslon Pro" w:cs="Adobe Caslon Pro"/>
          <w:sz w:val="16"/>
          <w:szCs w:val="16"/>
        </w:rPr>
        <w:t xml:space="preserve"> </w:t>
      </w:r>
      <w:r w:rsidR="000A27DB" w:rsidRPr="0087014F">
        <w:rPr>
          <w:rStyle w:val="A18"/>
          <w:rFonts w:ascii="Adobe Caslon Pro" w:hAnsi="Adobe Caslon Pro" w:cs="Adobe Caslon Pro"/>
          <w:sz w:val="16"/>
          <w:szCs w:val="16"/>
        </w:rPr>
        <w:t xml:space="preserve"> in a</w:t>
      </w:r>
      <w:r w:rsidRPr="0087014F">
        <w:rPr>
          <w:rStyle w:val="A18"/>
          <w:rFonts w:ascii="Adobe Caslon Pro" w:hAnsi="Adobe Caslon Pro" w:cs="Adobe Caslon Pro"/>
          <w:sz w:val="16"/>
          <w:szCs w:val="16"/>
        </w:rPr>
        <w:t xml:space="preserve">forementioned Universities. Also Served as Associate Dean and Dean </w:t>
      </w:r>
      <w:proofErr w:type="gramStart"/>
      <w:r w:rsidRPr="0087014F">
        <w:rPr>
          <w:rStyle w:val="A18"/>
          <w:rFonts w:ascii="Adobe Caslon Pro" w:hAnsi="Adobe Caslon Pro" w:cs="Adobe Caslon Pro"/>
          <w:sz w:val="16"/>
          <w:szCs w:val="16"/>
        </w:rPr>
        <w:t>of</w:t>
      </w:r>
      <w:r w:rsidR="00464795"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School</w:t>
      </w:r>
      <w:proofErr w:type="gramEnd"/>
      <w:r w:rsidRPr="0087014F">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87014F">
        <w:rPr>
          <w:rStyle w:val="A18"/>
          <w:rFonts w:ascii="Adobe Caslon Pro" w:hAnsi="Adobe Caslon Pro" w:cs="Adobe Caslon Pro"/>
          <w:sz w:val="16"/>
          <w:szCs w:val="16"/>
        </w:rPr>
        <w:t>respectively.</w:t>
      </w:r>
      <w:r w:rsidR="000A27DB" w:rsidRPr="0087014F">
        <w:rPr>
          <w:rStyle w:val="A18"/>
          <w:rFonts w:ascii="Adobe Caslon Pro" w:hAnsi="Adobe Caslon Pro" w:cs="Adobe Caslon Pro"/>
          <w:sz w:val="16"/>
          <w:szCs w:val="16"/>
        </w:rPr>
        <w:t>He</w:t>
      </w:r>
      <w:proofErr w:type="spellEnd"/>
      <w:r w:rsidR="000A27DB" w:rsidRPr="0087014F">
        <w:rPr>
          <w:rStyle w:val="A18"/>
          <w:rFonts w:ascii="Adobe Caslon Pro" w:hAnsi="Adobe Caslon Pro" w:cs="Adobe Caslon Pro"/>
          <w:sz w:val="16"/>
          <w:szCs w:val="16"/>
        </w:rPr>
        <w:t xml:space="preserve"> was selected as distinguished </w:t>
      </w:r>
      <w:r w:rsidR="000A27DB" w:rsidRPr="0087014F">
        <w:rPr>
          <w:rStyle w:val="A18"/>
          <w:rFonts w:ascii="Adobe Caslon Pro" w:hAnsi="Adobe Caslon Pro" w:cs="Adobe Caslon Pro"/>
          <w:sz w:val="16"/>
          <w:szCs w:val="16"/>
        </w:rPr>
        <w:lastRenderedPageBreak/>
        <w:t>professor and Scientist.</w:t>
      </w:r>
      <w:r w:rsidRPr="0087014F">
        <w:rPr>
          <w:rStyle w:val="A18"/>
          <w:rFonts w:ascii="Adobe Caslon Pro" w:hAnsi="Adobe Caslon Pro" w:cs="Adobe Caslon Pro"/>
          <w:sz w:val="16"/>
          <w:szCs w:val="16"/>
        </w:rPr>
        <w:t xml:space="preserve"> For long and </w:t>
      </w:r>
      <w:proofErr w:type="gramStart"/>
      <w:r w:rsidRPr="0087014F">
        <w:rPr>
          <w:rStyle w:val="A18"/>
          <w:rFonts w:ascii="Adobe Caslon Pro" w:hAnsi="Adobe Caslon Pro" w:cs="Adobe Caslon Pro"/>
          <w:sz w:val="16"/>
          <w:szCs w:val="16"/>
        </w:rPr>
        <w:t>extended</w:t>
      </w:r>
      <w:r w:rsidR="00464795"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period</w:t>
      </w:r>
      <w:proofErr w:type="gramEnd"/>
      <w:r w:rsidRPr="0087014F">
        <w:rPr>
          <w:rStyle w:val="A18"/>
          <w:rFonts w:ascii="Adobe Caslon Pro" w:hAnsi="Adobe Caslon Pro" w:cs="Adobe Caslon Pro"/>
          <w:sz w:val="16"/>
          <w:szCs w:val="16"/>
        </w:rPr>
        <w:t xml:space="preserve"> of time, experienced</w:t>
      </w:r>
      <w:r w:rsidR="00464795"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teaching various courses in nutrition in undergraduate, graduate and postgraduate and</w:t>
      </w:r>
      <w:r w:rsidR="000A27DB"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international Bureau</w:t>
      </w:r>
      <w:r w:rsidR="000A27DB"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programs and directed</w:t>
      </w:r>
      <w:r w:rsidR="00464795" w:rsidRPr="0087014F">
        <w:rPr>
          <w:rStyle w:val="A18"/>
          <w:rFonts w:ascii="Adobe Caslon Pro" w:hAnsi="Adobe Caslon Pro" w:cs="Adobe Caslon Pro"/>
          <w:sz w:val="16"/>
          <w:szCs w:val="16"/>
        </w:rPr>
        <w:t xml:space="preserve"> </w:t>
      </w:r>
      <w:r w:rsidRPr="0087014F">
        <w:rPr>
          <w:rStyle w:val="A18"/>
          <w:rFonts w:ascii="Adobe Caslon Pro" w:hAnsi="Adobe Caslon Pro" w:cs="Adobe Caslon Pro"/>
          <w:sz w:val="16"/>
          <w:szCs w:val="16"/>
        </w:rPr>
        <w:t xml:space="preserve"> many projects and dissertation of MS and PhD programs and Published numerous peer reviewed articles in journals and also edited several books and finally served as Principal Investigator of World Bank Project for Capacity Building in Nutrition in Iran.</w:t>
      </w:r>
    </w:p>
    <w:p w:rsidR="00007BC8" w:rsidRPr="006F098B" w:rsidRDefault="00007BC8" w:rsidP="00E54310">
      <w:pPr>
        <w:rPr>
          <w:rFonts w:ascii="Arial" w:eastAsia="Times New Roman" w:hAnsi="Arial" w:cs="Arial"/>
          <w:sz w:val="24"/>
          <w:szCs w:val="24"/>
        </w:rPr>
      </w:pPr>
    </w:p>
    <w:sectPr w:rsidR="00007BC8" w:rsidRPr="006F0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324"/>
    <w:rsid w:val="00007BC8"/>
    <w:rsid w:val="000236D9"/>
    <w:rsid w:val="000A27DB"/>
    <w:rsid w:val="00112D06"/>
    <w:rsid w:val="00464795"/>
    <w:rsid w:val="004E1BE4"/>
    <w:rsid w:val="00525814"/>
    <w:rsid w:val="00555052"/>
    <w:rsid w:val="00563DF5"/>
    <w:rsid w:val="0063606A"/>
    <w:rsid w:val="00690C76"/>
    <w:rsid w:val="006F098B"/>
    <w:rsid w:val="007E6D6E"/>
    <w:rsid w:val="0087014F"/>
    <w:rsid w:val="0093264F"/>
    <w:rsid w:val="00A274E1"/>
    <w:rsid w:val="00BA5C28"/>
    <w:rsid w:val="00C10E2D"/>
    <w:rsid w:val="00C72126"/>
    <w:rsid w:val="00D47324"/>
    <w:rsid w:val="00DB72E8"/>
    <w:rsid w:val="00DE6210"/>
    <w:rsid w:val="00E54310"/>
    <w:rsid w:val="00E7278A"/>
    <w:rsid w:val="00EF03C9"/>
    <w:rsid w:val="00F67122"/>
    <w:rsid w:val="00FA06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3">
    <w:name w:val="Pa13"/>
    <w:basedOn w:val="Normal"/>
    <w:next w:val="Normal"/>
    <w:uiPriority w:val="99"/>
    <w:rsid w:val="00563DF5"/>
    <w:pPr>
      <w:autoSpaceDE w:val="0"/>
      <w:autoSpaceDN w:val="0"/>
      <w:adjustRightInd w:val="0"/>
      <w:spacing w:after="0" w:line="241" w:lineRule="atLeast"/>
    </w:pPr>
    <w:rPr>
      <w:rFonts w:ascii="Adobe Caslon Pro Bold" w:hAnsi="Adobe Caslon Pro Bold"/>
      <w:sz w:val="24"/>
      <w:szCs w:val="24"/>
    </w:rPr>
  </w:style>
  <w:style w:type="character" w:customStyle="1" w:styleId="A18">
    <w:name w:val="A18"/>
    <w:uiPriority w:val="99"/>
    <w:rsid w:val="00563DF5"/>
    <w:rPr>
      <w:rFonts w:cs="Adobe Caslon Pro Bold"/>
      <w:color w:val="000000"/>
      <w:sz w:val="19"/>
      <w:szCs w:val="19"/>
    </w:rPr>
  </w:style>
  <w:style w:type="paragraph" w:styleId="BalloonText">
    <w:name w:val="Balloon Text"/>
    <w:basedOn w:val="Normal"/>
    <w:link w:val="BalloonTextChar"/>
    <w:uiPriority w:val="99"/>
    <w:semiHidden/>
    <w:unhideWhenUsed/>
    <w:rsid w:val="00023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6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3">
    <w:name w:val="Pa13"/>
    <w:basedOn w:val="Normal"/>
    <w:next w:val="Normal"/>
    <w:uiPriority w:val="99"/>
    <w:rsid w:val="00563DF5"/>
    <w:pPr>
      <w:autoSpaceDE w:val="0"/>
      <w:autoSpaceDN w:val="0"/>
      <w:adjustRightInd w:val="0"/>
      <w:spacing w:after="0" w:line="241" w:lineRule="atLeast"/>
    </w:pPr>
    <w:rPr>
      <w:rFonts w:ascii="Adobe Caslon Pro Bold" w:hAnsi="Adobe Caslon Pro Bold"/>
      <w:sz w:val="24"/>
      <w:szCs w:val="24"/>
    </w:rPr>
  </w:style>
  <w:style w:type="character" w:customStyle="1" w:styleId="A18">
    <w:name w:val="A18"/>
    <w:uiPriority w:val="99"/>
    <w:rsid w:val="00563DF5"/>
    <w:rPr>
      <w:rFonts w:cs="Adobe Caslon Pro Bold"/>
      <w:color w:val="000000"/>
      <w:sz w:val="19"/>
      <w:szCs w:val="19"/>
    </w:rPr>
  </w:style>
  <w:style w:type="paragraph" w:styleId="BalloonText">
    <w:name w:val="Balloon Text"/>
    <w:basedOn w:val="Normal"/>
    <w:link w:val="BalloonTextChar"/>
    <w:uiPriority w:val="99"/>
    <w:semiHidden/>
    <w:unhideWhenUsed/>
    <w:rsid w:val="00023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6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2017-02-17T14:31:00Z</cp:lastPrinted>
  <dcterms:created xsi:type="dcterms:W3CDTF">2017-03-11T21:32:00Z</dcterms:created>
  <dcterms:modified xsi:type="dcterms:W3CDTF">2017-03-11T21:32:00Z</dcterms:modified>
</cp:coreProperties>
</file>