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C7DAF" w14:textId="20DF5454" w:rsidR="00AE3E37" w:rsidRDefault="00B5327E" w:rsidP="00494130">
      <w:pPr>
        <w:pStyle w:val="Heading1"/>
        <w:spacing w:before="170"/>
        <w:ind w:left="0"/>
      </w:pPr>
      <w:r>
        <w:rPr>
          <w:color w:val="337AB7"/>
        </w:rPr>
        <w:t>Syringic acid, a phenolic compound attenuated arthritis by inhibition of Cytokines in Complete Freund</w:t>
      </w:r>
      <w:r w:rsidR="0043669A">
        <w:rPr>
          <w:color w:val="337AB7"/>
        </w:rPr>
        <w:t>’</w:t>
      </w:r>
      <w:r>
        <w:rPr>
          <w:color w:val="337AB7"/>
        </w:rPr>
        <w:t>s Adjuvant induced arthritis in rats.</w:t>
      </w:r>
    </w:p>
    <w:p w14:paraId="2ED57478" w14:textId="77777777" w:rsidR="00202584" w:rsidRPr="00BA73B1" w:rsidRDefault="00202584" w:rsidP="00202584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BA73B1">
        <w:rPr>
          <w:rFonts w:ascii="Arial"/>
        </w:rPr>
        <w:t xml:space="preserve">Archana R. </w:t>
      </w:r>
      <w:proofErr w:type="spellStart"/>
      <w:r w:rsidRPr="00BA73B1">
        <w:rPr>
          <w:rFonts w:ascii="Arial"/>
        </w:rPr>
        <w:t>Juvekar</w:t>
      </w:r>
      <w:proofErr w:type="spellEnd"/>
      <w:r w:rsidRPr="00BA73B1">
        <w:rPr>
          <w:rFonts w:ascii="Arial"/>
        </w:rPr>
        <w:t xml:space="preserve">, Institute of Chemical </w:t>
      </w:r>
      <w:proofErr w:type="spellStart"/>
      <w:proofErr w:type="gramStart"/>
      <w:r w:rsidRPr="00BA73B1">
        <w:rPr>
          <w:rFonts w:ascii="Arial"/>
        </w:rPr>
        <w:t>Technology,Mumbai</w:t>
      </w:r>
      <w:proofErr w:type="gramEnd"/>
      <w:r w:rsidRPr="00BA73B1">
        <w:rPr>
          <w:rFonts w:ascii="Arial"/>
        </w:rPr>
        <w:t>,India</w:t>
      </w:r>
      <w:proofErr w:type="spellEnd"/>
    </w:p>
    <w:p w14:paraId="04F6CE4E" w14:textId="2FBA2A94" w:rsidR="00B5327E" w:rsidRPr="00BA73B1" w:rsidRDefault="00B5327E" w:rsidP="00B5327E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BA73B1">
        <w:rPr>
          <w:rFonts w:ascii="Arial"/>
        </w:rPr>
        <w:t>Shilpee Chanda</w:t>
      </w:r>
      <w:r w:rsidR="005973B9" w:rsidRPr="00BA73B1">
        <w:rPr>
          <w:rFonts w:ascii="Arial"/>
        </w:rPr>
        <w:t>,</w:t>
      </w:r>
      <w:r w:rsidRPr="00BA73B1">
        <w:rPr>
          <w:rFonts w:ascii="Arial"/>
        </w:rPr>
        <w:t xml:space="preserve"> Institute of Chemical </w:t>
      </w:r>
      <w:proofErr w:type="spellStart"/>
      <w:proofErr w:type="gramStart"/>
      <w:r w:rsidRPr="00BA73B1">
        <w:rPr>
          <w:rFonts w:ascii="Arial"/>
        </w:rPr>
        <w:t>Technology,</w:t>
      </w:r>
      <w:r w:rsidR="00BA73B1" w:rsidRPr="00BA73B1">
        <w:rPr>
          <w:rFonts w:ascii="Arial"/>
        </w:rPr>
        <w:t>Mumbai</w:t>
      </w:r>
      <w:proofErr w:type="gramEnd"/>
      <w:r w:rsidR="00BA73B1" w:rsidRPr="00BA73B1">
        <w:rPr>
          <w:rFonts w:ascii="Arial"/>
        </w:rPr>
        <w:t>,</w:t>
      </w:r>
      <w:r w:rsidRPr="00BA73B1">
        <w:rPr>
          <w:rFonts w:ascii="Arial"/>
        </w:rPr>
        <w:t>India</w:t>
      </w:r>
      <w:proofErr w:type="spellEnd"/>
    </w:p>
    <w:p w14:paraId="6A78728B" w14:textId="77777777" w:rsidR="00AE3E37" w:rsidRDefault="00AE3E37">
      <w:pPr>
        <w:pStyle w:val="BodyText"/>
        <w:rPr>
          <w:rFonts w:ascii="Arial"/>
          <w:sz w:val="20"/>
        </w:rPr>
      </w:pPr>
    </w:p>
    <w:p w14:paraId="29CF366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D66190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0DC048E" w14:textId="2AA73501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33A78697" w14:textId="299F3BBB" w:rsidR="00AE3E37" w:rsidRDefault="00B5327E">
      <w:pPr>
        <w:pStyle w:val="BodyText"/>
        <w:spacing w:before="90" w:line="280" w:lineRule="auto"/>
        <w:ind w:left="100"/>
        <w:jc w:val="both"/>
      </w:pPr>
      <w:r>
        <w:t>Aim and objective</w:t>
      </w:r>
      <w:r w:rsidR="00A9710C">
        <w:t xml:space="preserve">: </w:t>
      </w:r>
      <w:r>
        <w:t xml:space="preserve">To evaluate the </w:t>
      </w:r>
      <w:r w:rsidRPr="00B5327E">
        <w:t>anti</w:t>
      </w:r>
      <w:r>
        <w:t>-</w:t>
      </w:r>
      <w:r w:rsidRPr="00B5327E">
        <w:t xml:space="preserve">arthritic potential of </w:t>
      </w:r>
      <w:r>
        <w:t xml:space="preserve">Syringic acid </w:t>
      </w:r>
      <w:r w:rsidRPr="00B5327E">
        <w:t xml:space="preserve">in </w:t>
      </w:r>
      <w:r w:rsidR="0043669A" w:rsidRPr="00B5327E">
        <w:t>Freund ‘</w:t>
      </w:r>
      <w:r w:rsidRPr="00B5327E">
        <w:t xml:space="preserve">s complete adjuvant induced arthritis in rats and to study </w:t>
      </w:r>
      <w:r w:rsidR="00E92CA7">
        <w:t xml:space="preserve">the </w:t>
      </w:r>
      <w:r w:rsidRPr="00B5327E">
        <w:t>underlying mechanism.</w:t>
      </w:r>
      <w:r w:rsidR="00A9710C">
        <w:t xml:space="preserve"> Method</w:t>
      </w:r>
      <w:r>
        <w:t>s</w:t>
      </w:r>
      <w:r w:rsidR="008756E6">
        <w:t>:</w:t>
      </w:r>
      <w:r w:rsidR="0043669A">
        <w:t xml:space="preserve"> </w:t>
      </w:r>
      <w:r>
        <w:t>Rheumatoid arthritis was induced in male Wistar rats by sub</w:t>
      </w:r>
      <w:r w:rsidR="0043669A">
        <w:t>-</w:t>
      </w:r>
      <w:r>
        <w:t>plantar injection</w:t>
      </w:r>
      <w:r w:rsidR="0043669A">
        <w:t xml:space="preserve"> of 0.1ml of Complete Freund’s adjuvant into right hind paw on day 0. The treatment of Syringic acid (25,50 and 100mg/kg) and standard drug,</w:t>
      </w:r>
      <w:r w:rsidR="00D67A76">
        <w:t xml:space="preserve"> </w:t>
      </w:r>
      <w:r w:rsidR="0043669A">
        <w:t xml:space="preserve">Indomethacin (1mg/kg) was started from day 0 and continued </w:t>
      </w:r>
      <w:r w:rsidR="00D67A76">
        <w:t>up to</w:t>
      </w:r>
      <w:r w:rsidR="0043669A">
        <w:t xml:space="preserve"> day 21. The body weight,</w:t>
      </w:r>
      <w:r w:rsidR="00D67A76">
        <w:t xml:space="preserve"> </w:t>
      </w:r>
      <w:r w:rsidR="0043669A">
        <w:t xml:space="preserve">paw </w:t>
      </w:r>
      <w:r w:rsidR="00D67A76">
        <w:t>volume, paw</w:t>
      </w:r>
      <w:r w:rsidR="0043669A">
        <w:t xml:space="preserve"> thickness and arthritic index were determined on day 0,3,7,10,14,18 and 21. On day 22, rats were sacrificed and </w:t>
      </w:r>
      <w:r w:rsidR="00D67A76">
        <w:t xml:space="preserve">hematological, </w:t>
      </w:r>
      <w:r w:rsidR="0043669A">
        <w:t>biochemical,</w:t>
      </w:r>
      <w:r w:rsidR="00D67A76">
        <w:t xml:space="preserve"> </w:t>
      </w:r>
      <w:r w:rsidR="0043669A">
        <w:t>anti-oxidant parameters</w:t>
      </w:r>
      <w:r w:rsidR="00130AFB">
        <w:t>,</w:t>
      </w:r>
      <w:r w:rsidR="00130AFB" w:rsidRPr="00130AFB">
        <w:t xml:space="preserve"> </w:t>
      </w:r>
      <w:r w:rsidR="00130AFB">
        <w:t xml:space="preserve">the thymus and spleen indices </w:t>
      </w:r>
      <w:r w:rsidR="0043669A">
        <w:t>and cytokine level were estimated.</w:t>
      </w:r>
      <w:r w:rsidR="00D67A76">
        <w:t xml:space="preserve"> </w:t>
      </w:r>
      <w:r w:rsidR="0043669A">
        <w:t>His</w:t>
      </w:r>
      <w:r w:rsidR="00D67A76">
        <w:t>to</w:t>
      </w:r>
      <w:r w:rsidR="0043669A">
        <w:t xml:space="preserve">pathological examination of the </w:t>
      </w:r>
      <w:r w:rsidR="00A57715">
        <w:t>injected paw of the</w:t>
      </w:r>
      <w:r w:rsidR="00130AFB">
        <w:t xml:space="preserve"> rat was performed</w:t>
      </w:r>
      <w:r w:rsidR="0043669A">
        <w:t>.</w:t>
      </w:r>
      <w:r w:rsidR="00D67A76">
        <w:t xml:space="preserve"> </w:t>
      </w:r>
      <w:r w:rsidR="0043669A">
        <w:t>Results:</w:t>
      </w:r>
      <w:r w:rsidR="00D67A76">
        <w:t xml:space="preserve"> </w:t>
      </w:r>
      <w:r w:rsidR="0043669A">
        <w:t>Syringic acid showed significant(p&lt;0.05) reduction in paw volumes at doses 50mg/kg and 100mg/kg. Syringic acid showed significant reduction in Tumor Necrosis Factor-</w:t>
      </w:r>
      <w:r w:rsidR="0043669A">
        <w:rPr>
          <w:rFonts w:ascii="Times New Roman" w:hAnsi="Times New Roman" w:cs="Times New Roman"/>
        </w:rPr>
        <w:t>α</w:t>
      </w:r>
      <w:r w:rsidR="0043669A">
        <w:t>(TNF-</w:t>
      </w:r>
      <w:r w:rsidR="0043669A">
        <w:rPr>
          <w:rFonts w:ascii="Times New Roman" w:hAnsi="Times New Roman" w:cs="Times New Roman"/>
        </w:rPr>
        <w:t>α</w:t>
      </w:r>
      <w:r w:rsidR="0043669A">
        <w:t>) and Interleukin-6(IL-6) levels in the serum,</w:t>
      </w:r>
      <w:r w:rsidR="00D67A76">
        <w:t xml:space="preserve"> </w:t>
      </w:r>
      <w:r w:rsidR="0043669A">
        <w:t xml:space="preserve">while increase in the anti-oxidant and biochemical </w:t>
      </w:r>
      <w:r w:rsidR="00D67A76">
        <w:t xml:space="preserve">parameter. </w:t>
      </w:r>
      <w:r w:rsidR="0043669A">
        <w:t>The histopathology showed reduced cellular infiltration,</w:t>
      </w:r>
      <w:r w:rsidR="00D67A76">
        <w:t xml:space="preserve"> </w:t>
      </w:r>
      <w:r w:rsidR="0043669A">
        <w:t xml:space="preserve">synovial line thickening and joint </w:t>
      </w:r>
      <w:r w:rsidR="00D67A76">
        <w:t>erosion of cartilage. Conclusion: The restoration of the levels of TNF-</w:t>
      </w:r>
      <w:r w:rsidR="00D67A76">
        <w:rPr>
          <w:rFonts w:ascii="Times New Roman" w:hAnsi="Times New Roman" w:cs="Times New Roman"/>
        </w:rPr>
        <w:t>α</w:t>
      </w:r>
      <w:r w:rsidR="00D67A76">
        <w:t xml:space="preserve"> and IL-6 </w:t>
      </w:r>
      <w:r w:rsidR="00E92CA7">
        <w:t xml:space="preserve">to normal </w:t>
      </w:r>
      <w:r w:rsidR="00D67A76">
        <w:t>may be contributing to the anti-arthritic potential of Syringic acid and could be a promising therapeutic alternative in the treatment of Rheumatoid arthritis.</w:t>
      </w:r>
    </w:p>
    <w:p w14:paraId="3CE321E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097721A" w14:textId="52A84ACE" w:rsidR="00AE3E37" w:rsidRDefault="00DB28AE">
      <w:pPr>
        <w:pStyle w:val="BodyText"/>
        <w:spacing w:before="2"/>
        <w:rPr>
          <w:rFonts w:ascii="Arial"/>
          <w:b/>
          <w:sz w:val="16"/>
        </w:rPr>
      </w:pPr>
      <w:r w:rsidRPr="00DB28AE">
        <w:rPr>
          <w:rFonts w:ascii="Arial"/>
          <w:b/>
          <w:sz w:val="16"/>
        </w:rPr>
        <w:drawing>
          <wp:inline distT="0" distB="0" distL="0" distR="0" wp14:anchorId="50AAB09D" wp14:editId="086A04B7">
            <wp:extent cx="3165475" cy="1780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A8FBD" w14:textId="20D1CE53" w:rsidR="00D7314F" w:rsidRDefault="00D7314F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 1: Syringic acid attenuates arthritis in Complete Freund</w:t>
      </w:r>
      <w:r>
        <w:rPr>
          <w:rFonts w:ascii="Arial"/>
          <w:b/>
          <w:sz w:val="16"/>
        </w:rPr>
        <w:t>’</w:t>
      </w:r>
      <w:r>
        <w:rPr>
          <w:rFonts w:ascii="Arial"/>
          <w:b/>
          <w:sz w:val="16"/>
        </w:rPr>
        <w:t>s adjuvant induced arthritis in rats</w:t>
      </w:r>
    </w:p>
    <w:p w14:paraId="7D01469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47CB61E" w14:textId="5F7203C8" w:rsidR="00202584" w:rsidRDefault="00202584" w:rsidP="0020258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02584">
        <w:rPr>
          <w:sz w:val="18"/>
        </w:rPr>
        <w:t>Mestry</w:t>
      </w:r>
      <w:proofErr w:type="spellEnd"/>
      <w:r w:rsidRPr="00202584">
        <w:rPr>
          <w:sz w:val="18"/>
        </w:rPr>
        <w:t xml:space="preserve">, </w:t>
      </w:r>
      <w:proofErr w:type="spellStart"/>
      <w:r w:rsidRPr="00202584">
        <w:rPr>
          <w:sz w:val="18"/>
        </w:rPr>
        <w:t>Snehal</w:t>
      </w:r>
      <w:proofErr w:type="spellEnd"/>
      <w:r w:rsidRPr="00202584">
        <w:rPr>
          <w:sz w:val="18"/>
        </w:rPr>
        <w:t xml:space="preserve"> N., et al. "</w:t>
      </w:r>
      <w:proofErr w:type="spellStart"/>
      <w:r w:rsidRPr="00202584">
        <w:rPr>
          <w:sz w:val="18"/>
        </w:rPr>
        <w:t>Punica</w:t>
      </w:r>
      <w:proofErr w:type="spellEnd"/>
      <w:r w:rsidRPr="00202584">
        <w:rPr>
          <w:sz w:val="18"/>
        </w:rPr>
        <w:t xml:space="preserve"> </w:t>
      </w:r>
      <w:proofErr w:type="spellStart"/>
      <w:r w:rsidRPr="00202584">
        <w:rPr>
          <w:sz w:val="18"/>
        </w:rPr>
        <w:t>granatum</w:t>
      </w:r>
      <w:proofErr w:type="spellEnd"/>
      <w:r w:rsidRPr="00202584">
        <w:rPr>
          <w:sz w:val="18"/>
        </w:rPr>
        <w:t xml:space="preserve"> improves renal function in gentamicin-induced nephropathy in rats via attenuation of oxidative stress." Journal of Ayurveda and integrative medicine (2018).</w:t>
      </w:r>
    </w:p>
    <w:p w14:paraId="0DDE252B" w14:textId="674245CD" w:rsidR="00BA73B1" w:rsidRDefault="00BA73B1" w:rsidP="00BA73B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A73B1">
        <w:rPr>
          <w:sz w:val="18"/>
        </w:rPr>
        <w:t xml:space="preserve">Chowdhury, Amrita A., et al. "In vitro </w:t>
      </w:r>
      <w:proofErr w:type="spellStart"/>
      <w:r w:rsidRPr="00BA73B1">
        <w:rPr>
          <w:sz w:val="18"/>
        </w:rPr>
        <w:t>antiglycating</w:t>
      </w:r>
      <w:proofErr w:type="spellEnd"/>
      <w:r w:rsidRPr="00BA73B1">
        <w:rPr>
          <w:sz w:val="18"/>
        </w:rPr>
        <w:t xml:space="preserve"> effect and in vivo neuroprotective activity of Trigonelline in d-galactose induced cognitive impairment." Pharmacological Reports (2017). </w:t>
      </w:r>
    </w:p>
    <w:p w14:paraId="21EAC1E0" w14:textId="34AC8F60" w:rsidR="00A300A3" w:rsidRDefault="00A300A3" w:rsidP="00A300A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A300A3">
        <w:rPr>
          <w:sz w:val="18"/>
        </w:rPr>
        <w:t>Gawali</w:t>
      </w:r>
      <w:proofErr w:type="spellEnd"/>
      <w:r w:rsidRPr="00A300A3">
        <w:rPr>
          <w:sz w:val="18"/>
        </w:rPr>
        <w:t xml:space="preserve">, Nitin B., et al. "Agmatine attenuates chronic unpredictable mild stress-induced anxiety, depression-like </w:t>
      </w:r>
      <w:proofErr w:type="spellStart"/>
      <w:r w:rsidRPr="00A300A3">
        <w:rPr>
          <w:sz w:val="18"/>
        </w:rPr>
        <w:t>behaviours</w:t>
      </w:r>
      <w:proofErr w:type="spellEnd"/>
      <w:r w:rsidRPr="00A300A3">
        <w:rPr>
          <w:sz w:val="18"/>
        </w:rPr>
        <w:t xml:space="preserve"> and cognitive impairment by modulating nitrergic </w:t>
      </w:r>
      <w:proofErr w:type="spellStart"/>
      <w:r w:rsidRPr="00A300A3">
        <w:rPr>
          <w:sz w:val="18"/>
        </w:rPr>
        <w:t>signalling</w:t>
      </w:r>
      <w:proofErr w:type="spellEnd"/>
      <w:r w:rsidRPr="00A300A3">
        <w:rPr>
          <w:sz w:val="18"/>
        </w:rPr>
        <w:t xml:space="preserve"> pathway." Brain research 1663 (2017): 66-77.</w:t>
      </w:r>
    </w:p>
    <w:p w14:paraId="5B0522D3" w14:textId="593FB1C8" w:rsidR="00202584" w:rsidRDefault="00202584" w:rsidP="0020258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02584">
        <w:rPr>
          <w:sz w:val="18"/>
        </w:rPr>
        <w:t>Thanekar</w:t>
      </w:r>
      <w:proofErr w:type="spellEnd"/>
      <w:r w:rsidRPr="00202584">
        <w:rPr>
          <w:sz w:val="18"/>
        </w:rPr>
        <w:t xml:space="preserve">, Deepavali, et al. "Evaluation of antitumor and anti-angiogenic activity of bioactive compounds from </w:t>
      </w:r>
      <w:proofErr w:type="spellStart"/>
      <w:r w:rsidRPr="00202584">
        <w:rPr>
          <w:sz w:val="18"/>
        </w:rPr>
        <w:t>Cinnamomum</w:t>
      </w:r>
      <w:proofErr w:type="spellEnd"/>
      <w:r w:rsidRPr="00202584">
        <w:rPr>
          <w:sz w:val="18"/>
        </w:rPr>
        <w:t xml:space="preserve"> </w:t>
      </w:r>
      <w:proofErr w:type="spellStart"/>
      <w:r w:rsidRPr="00202584">
        <w:rPr>
          <w:sz w:val="18"/>
        </w:rPr>
        <w:t>tamala</w:t>
      </w:r>
      <w:proofErr w:type="spellEnd"/>
      <w:r w:rsidRPr="00202584">
        <w:rPr>
          <w:sz w:val="18"/>
        </w:rPr>
        <w:t>: In vitro, in vivo and in silico approach." South African Journal of Botany 104 (2016): 6-14.</w:t>
      </w:r>
    </w:p>
    <w:p w14:paraId="322D556D" w14:textId="7052D46F" w:rsidR="00202584" w:rsidRDefault="00202584" w:rsidP="0020258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02584">
        <w:rPr>
          <w:sz w:val="18"/>
        </w:rPr>
        <w:t>Gawali</w:t>
      </w:r>
      <w:proofErr w:type="spellEnd"/>
      <w:r w:rsidRPr="00202584">
        <w:rPr>
          <w:sz w:val="18"/>
        </w:rPr>
        <w:t xml:space="preserve">, Nitin B., et al. "Involvement of nitric oxide in </w:t>
      </w:r>
      <w:proofErr w:type="spellStart"/>
      <w:r w:rsidRPr="00202584">
        <w:rPr>
          <w:sz w:val="18"/>
        </w:rPr>
        <w:t>anticompulsive</w:t>
      </w:r>
      <w:proofErr w:type="spellEnd"/>
      <w:r w:rsidRPr="00202584">
        <w:rPr>
          <w:sz w:val="18"/>
        </w:rPr>
        <w:t xml:space="preserve">-like effect of agmatine on marble-burying </w:t>
      </w:r>
      <w:proofErr w:type="spellStart"/>
      <w:r w:rsidRPr="00202584">
        <w:rPr>
          <w:sz w:val="18"/>
        </w:rPr>
        <w:t>behaviour</w:t>
      </w:r>
      <w:proofErr w:type="spellEnd"/>
      <w:r w:rsidRPr="00202584">
        <w:rPr>
          <w:sz w:val="18"/>
        </w:rPr>
        <w:t xml:space="preserve"> in mice." European journal of pharmacology 770 (2016): 165-171.</w:t>
      </w:r>
    </w:p>
    <w:p w14:paraId="7469F1DA" w14:textId="3D387894" w:rsidR="00A300A3" w:rsidRDefault="00A300A3" w:rsidP="00A300A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A300A3">
        <w:rPr>
          <w:sz w:val="18"/>
        </w:rPr>
        <w:t>Bulani</w:t>
      </w:r>
      <w:proofErr w:type="spellEnd"/>
      <w:r w:rsidRPr="00A300A3">
        <w:rPr>
          <w:sz w:val="18"/>
        </w:rPr>
        <w:t>, Vipin D., et al. "Inclusion complex of ellagic acid with β-cyclodextrin: Characterization and in vitro anti-inflammatory evaluation." Journal of Molecular Structure 1105 (2016): 308-315.</w:t>
      </w:r>
    </w:p>
    <w:p w14:paraId="3A769CD5" w14:textId="307DF7BB" w:rsidR="00A300A3" w:rsidRDefault="00A300A3" w:rsidP="00A300A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A300A3">
        <w:rPr>
          <w:sz w:val="18"/>
        </w:rPr>
        <w:t>Bulani</w:t>
      </w:r>
      <w:proofErr w:type="spellEnd"/>
      <w:r w:rsidRPr="00A300A3">
        <w:rPr>
          <w:sz w:val="18"/>
        </w:rPr>
        <w:t>, Vipin D., et al. "</w:t>
      </w:r>
      <w:proofErr w:type="spellStart"/>
      <w:r w:rsidRPr="00A300A3">
        <w:rPr>
          <w:sz w:val="18"/>
        </w:rPr>
        <w:t>Characterisation</w:t>
      </w:r>
      <w:proofErr w:type="spellEnd"/>
      <w:r w:rsidRPr="00A300A3">
        <w:rPr>
          <w:sz w:val="18"/>
        </w:rPr>
        <w:t xml:space="preserve"> and anti-inflammatory evaluation of the inclusion complex of ellagic acid with hydroxypropyl-β-cyclodextrin." Journal of Inclusion Phenomena and Macrocyclic Chemistry 82.3-4 (2015): 361-372.</w:t>
      </w:r>
    </w:p>
    <w:p w14:paraId="7FAF318E" w14:textId="77777777" w:rsidR="00A300A3" w:rsidRDefault="00A300A3" w:rsidP="00A300A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A300A3">
        <w:rPr>
          <w:sz w:val="18"/>
        </w:rPr>
        <w:t>Kothavade</w:t>
      </w:r>
      <w:proofErr w:type="spellEnd"/>
      <w:r w:rsidRPr="00A300A3">
        <w:rPr>
          <w:sz w:val="18"/>
        </w:rPr>
        <w:t xml:space="preserve">, Pankaj S., et al. "Therapeutic effect of saponin rich fraction of </w:t>
      </w:r>
      <w:proofErr w:type="spellStart"/>
      <w:r w:rsidRPr="00A300A3">
        <w:rPr>
          <w:sz w:val="18"/>
        </w:rPr>
        <w:t>Achyranthes</w:t>
      </w:r>
      <w:proofErr w:type="spellEnd"/>
      <w:r w:rsidRPr="00A300A3">
        <w:rPr>
          <w:sz w:val="18"/>
        </w:rPr>
        <w:t xml:space="preserve"> aspera Linn. on adjuvant-induced arthritis in Sprague-Dawley rats." Autoimmune Diseases 2015 (2015)</w:t>
      </w:r>
    </w:p>
    <w:p w14:paraId="2D0356B7" w14:textId="69B1582E" w:rsidR="00A300A3" w:rsidRDefault="00A300A3" w:rsidP="00A300A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A300A3">
        <w:rPr>
          <w:sz w:val="18"/>
        </w:rPr>
        <w:t>Kothavade</w:t>
      </w:r>
      <w:proofErr w:type="spellEnd"/>
      <w:r w:rsidRPr="00A300A3">
        <w:rPr>
          <w:sz w:val="18"/>
        </w:rPr>
        <w:t xml:space="preserve">, Pankaj S., et al. "The petroleum ether fraction of </w:t>
      </w:r>
      <w:proofErr w:type="spellStart"/>
      <w:r w:rsidRPr="00A300A3">
        <w:rPr>
          <w:sz w:val="18"/>
        </w:rPr>
        <w:t>Celastrus</w:t>
      </w:r>
      <w:proofErr w:type="spellEnd"/>
      <w:r w:rsidRPr="00A300A3">
        <w:rPr>
          <w:sz w:val="18"/>
        </w:rPr>
        <w:t xml:space="preserve"> </w:t>
      </w:r>
      <w:proofErr w:type="spellStart"/>
      <w:r w:rsidRPr="00A300A3">
        <w:rPr>
          <w:sz w:val="18"/>
        </w:rPr>
        <w:t>paniculatus</w:t>
      </w:r>
      <w:proofErr w:type="spellEnd"/>
      <w:r w:rsidRPr="00A300A3">
        <w:rPr>
          <w:sz w:val="18"/>
        </w:rPr>
        <w:t xml:space="preserve"> </w:t>
      </w:r>
      <w:proofErr w:type="spellStart"/>
      <w:r w:rsidRPr="00A300A3">
        <w:rPr>
          <w:sz w:val="18"/>
        </w:rPr>
        <w:t>Willd</w:t>
      </w:r>
      <w:proofErr w:type="spellEnd"/>
      <w:r w:rsidRPr="00A300A3">
        <w:rPr>
          <w:sz w:val="18"/>
        </w:rPr>
        <w:t>. Seeds demonstrates anti-arthritic effect in adjuvant-induced arthritis in rats." Journal of Traditional Chinese Medical Sciences 2.3 (2015): 183-193.</w:t>
      </w:r>
    </w:p>
    <w:p w14:paraId="365F97F3" w14:textId="61DBB814" w:rsidR="00AE3E37" w:rsidRPr="008756E6" w:rsidRDefault="00AE3E37" w:rsidP="00A300A3">
      <w:pPr>
        <w:pStyle w:val="ListParagraph"/>
        <w:tabs>
          <w:tab w:val="left" w:pos="384"/>
        </w:tabs>
        <w:spacing w:line="216" w:lineRule="exact"/>
        <w:ind w:right="137" w:firstLine="0"/>
      </w:pPr>
    </w:p>
    <w:p w14:paraId="0C55170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761218A" w14:textId="77777777" w:rsidR="00AE3E37" w:rsidRDefault="00AE3E37">
      <w:pPr>
        <w:pStyle w:val="BodyText"/>
        <w:rPr>
          <w:rFonts w:ascii="Calibri"/>
          <w:sz w:val="20"/>
        </w:rPr>
      </w:pPr>
    </w:p>
    <w:p w14:paraId="2450753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5BEAFB9" wp14:editId="3F68233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253E6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DAE714A" w14:textId="47A35F8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A0D25">
        <w:rPr>
          <w:rFonts w:ascii="Arial"/>
          <w:noProof/>
          <w:color w:val="BF5A14"/>
        </w:rPr>
        <w:drawing>
          <wp:inline distT="0" distB="0" distL="0" distR="0" wp14:anchorId="61948C6B" wp14:editId="364F76BF">
            <wp:extent cx="800100" cy="800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 of juvekar ma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83CEC56" w14:textId="1FC8988E" w:rsidR="00AE3E37" w:rsidRDefault="0020258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Archana R. </w:t>
      </w:r>
      <w:proofErr w:type="spellStart"/>
      <w:r>
        <w:rPr>
          <w:rFonts w:ascii="Arial"/>
          <w:sz w:val="14"/>
        </w:rPr>
        <w:t>Juvekar</w:t>
      </w:r>
      <w:proofErr w:type="spellEnd"/>
      <w:r>
        <w:rPr>
          <w:rFonts w:ascii="Arial"/>
          <w:sz w:val="14"/>
        </w:rPr>
        <w:t xml:space="preserve"> is currently a </w:t>
      </w:r>
      <w:r w:rsidR="00795C27">
        <w:rPr>
          <w:rFonts w:ascii="Arial"/>
          <w:sz w:val="14"/>
        </w:rPr>
        <w:t xml:space="preserve">professor in Pharmacology and Physiology at Institute of Chemical </w:t>
      </w:r>
      <w:proofErr w:type="spellStart"/>
      <w:proofErr w:type="gramStart"/>
      <w:r w:rsidR="00795C27">
        <w:rPr>
          <w:rFonts w:ascii="Arial"/>
          <w:sz w:val="14"/>
        </w:rPr>
        <w:t>Technology,Mumbai</w:t>
      </w:r>
      <w:proofErr w:type="gramEnd"/>
      <w:r w:rsidR="00795C27">
        <w:rPr>
          <w:rFonts w:ascii="Arial"/>
          <w:sz w:val="14"/>
        </w:rPr>
        <w:t>,India</w:t>
      </w:r>
      <w:proofErr w:type="spellEnd"/>
      <w:r w:rsidR="00795C27">
        <w:rPr>
          <w:rFonts w:ascii="Arial"/>
          <w:sz w:val="14"/>
        </w:rPr>
        <w:t>.</w:t>
      </w:r>
      <w:r w:rsidR="008A0D25">
        <w:rPr>
          <w:rFonts w:ascii="Arial"/>
          <w:sz w:val="14"/>
        </w:rPr>
        <w:t xml:space="preserve"> </w:t>
      </w:r>
      <w:r w:rsidR="00795C27">
        <w:rPr>
          <w:rFonts w:ascii="Arial"/>
          <w:sz w:val="14"/>
        </w:rPr>
        <w:t xml:space="preserve">She has to her credit over 100 national and international publications in peer-reviewed journals and over 150  national and international conference </w:t>
      </w:r>
      <w:r w:rsidR="008A0D25">
        <w:rPr>
          <w:rFonts w:ascii="Arial"/>
          <w:sz w:val="14"/>
        </w:rPr>
        <w:t>proceedings. She</w:t>
      </w:r>
      <w:r w:rsidR="00795C27">
        <w:rPr>
          <w:rFonts w:ascii="Arial"/>
          <w:sz w:val="14"/>
        </w:rPr>
        <w:t xml:space="preserve"> has till date awarded 21 PhD degrees and guided more than 65 master students and is still actively involved in </w:t>
      </w:r>
      <w:r w:rsidR="008A0D25">
        <w:rPr>
          <w:rFonts w:ascii="Arial"/>
          <w:sz w:val="14"/>
        </w:rPr>
        <w:t>undergraduate, graduate</w:t>
      </w:r>
      <w:r w:rsidR="00795C27">
        <w:rPr>
          <w:rFonts w:ascii="Arial"/>
          <w:sz w:val="14"/>
        </w:rPr>
        <w:t xml:space="preserve"> teaching and research </w:t>
      </w:r>
      <w:r w:rsidR="008A0D25">
        <w:rPr>
          <w:rFonts w:ascii="Arial"/>
          <w:sz w:val="14"/>
        </w:rPr>
        <w:t>projects. She</w:t>
      </w:r>
      <w:r w:rsidR="00795C27">
        <w:rPr>
          <w:rFonts w:ascii="Arial"/>
          <w:sz w:val="14"/>
        </w:rPr>
        <w:t xml:space="preserve"> has received the best research paper award sponsored by the AI-Ameen College of Pharmacy Award for Best Paper published in UPER 2011 and best research paper award for paper at 34</w:t>
      </w:r>
      <w:r w:rsidR="00795C27" w:rsidRPr="00795C27">
        <w:rPr>
          <w:rFonts w:ascii="Arial"/>
          <w:sz w:val="14"/>
          <w:vertAlign w:val="superscript"/>
        </w:rPr>
        <w:t>th</w:t>
      </w:r>
      <w:r w:rsidR="00795C27">
        <w:rPr>
          <w:rFonts w:ascii="Arial"/>
          <w:sz w:val="14"/>
        </w:rPr>
        <w:t xml:space="preserve"> Annual Conference on Indian Pharmacological Society 2002. Dr. Archana R </w:t>
      </w:r>
      <w:proofErr w:type="spellStart"/>
      <w:r w:rsidR="00795C27">
        <w:rPr>
          <w:rFonts w:ascii="Arial"/>
          <w:sz w:val="14"/>
        </w:rPr>
        <w:t>Juvekar</w:t>
      </w:r>
      <w:proofErr w:type="spellEnd"/>
      <w:r w:rsidR="00795C27">
        <w:rPr>
          <w:rFonts w:ascii="Arial"/>
          <w:sz w:val="14"/>
        </w:rPr>
        <w:t xml:space="preserve"> by her dedicated work skills and vast knowledge has been the backbone of success for many young research scientists and she would continue to do so for the years to come.</w:t>
      </w:r>
    </w:p>
    <w:p w14:paraId="044391E3" w14:textId="49512CD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02584" w:rsidRPr="002A60D5">
          <w:rPr>
            <w:rStyle w:val="Hyperlink"/>
            <w:rFonts w:ascii="Arial"/>
            <w:sz w:val="14"/>
          </w:rPr>
          <w:t>shilpeechanda37@gmail.com</w:t>
        </w:r>
      </w:hyperlink>
    </w:p>
    <w:p w14:paraId="2F40617F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F7F7221" wp14:editId="374A3A7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2E1A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3E9092C" w14:textId="77777777" w:rsidR="00AE3E37" w:rsidRDefault="00AE3E37">
      <w:pPr>
        <w:pStyle w:val="BodyText"/>
        <w:rPr>
          <w:rFonts w:ascii="Arial"/>
          <w:sz w:val="20"/>
        </w:rPr>
      </w:pPr>
    </w:p>
    <w:p w14:paraId="2E11B421" w14:textId="77777777" w:rsidR="00AE3E37" w:rsidRDefault="00AE3E37">
      <w:pPr>
        <w:pStyle w:val="BodyText"/>
        <w:rPr>
          <w:rFonts w:ascii="Arial"/>
          <w:sz w:val="20"/>
        </w:rPr>
      </w:pPr>
    </w:p>
    <w:p w14:paraId="783812F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A3CFB7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0885E7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A9E0C8B" w14:textId="6EA3611E" w:rsidR="00AE3E37" w:rsidRDefault="00795C27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 xml:space="preserve">The first author of the present work is </w:t>
      </w:r>
      <w:proofErr w:type="spellStart"/>
      <w:proofErr w:type="gramStart"/>
      <w:r>
        <w:rPr>
          <w:rFonts w:ascii="Minion Pro"/>
          <w:sz w:val="26"/>
        </w:rPr>
        <w:t>Dr.Archana</w:t>
      </w:r>
      <w:proofErr w:type="spellEnd"/>
      <w:proofErr w:type="gramEnd"/>
      <w:r>
        <w:rPr>
          <w:rFonts w:ascii="Minion Pro"/>
          <w:sz w:val="26"/>
        </w:rPr>
        <w:t xml:space="preserve"> R </w:t>
      </w:r>
      <w:proofErr w:type="spellStart"/>
      <w:r>
        <w:rPr>
          <w:rFonts w:ascii="Minion Pro"/>
          <w:sz w:val="26"/>
        </w:rPr>
        <w:t>Juvekar</w:t>
      </w:r>
      <w:proofErr w:type="spellEnd"/>
      <w:r>
        <w:rPr>
          <w:rFonts w:ascii="Minion Pro"/>
          <w:sz w:val="26"/>
        </w:rPr>
        <w:t xml:space="preserve"> and the presenting author is Ms.</w:t>
      </w:r>
      <w:r w:rsidR="008A0D25">
        <w:rPr>
          <w:rFonts w:ascii="Minion Pro"/>
          <w:sz w:val="26"/>
        </w:rPr>
        <w:t xml:space="preserve"> </w:t>
      </w:r>
      <w:r>
        <w:rPr>
          <w:rFonts w:ascii="Minion Pro"/>
          <w:sz w:val="26"/>
        </w:rPr>
        <w:t>Shilpee Chanda.</w:t>
      </w: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D21C4" w14:textId="77777777" w:rsidR="001C1F33" w:rsidRDefault="001C1F33">
      <w:r>
        <w:separator/>
      </w:r>
    </w:p>
  </w:endnote>
  <w:endnote w:type="continuationSeparator" w:id="0">
    <w:p w14:paraId="291DEF47" w14:textId="77777777" w:rsidR="001C1F33" w:rsidRDefault="001C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C08D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EDCE046" wp14:editId="1A94AB8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81F5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846AD8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DCE0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02281F5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846AD8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484580B" wp14:editId="7432723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3261D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5E0DCD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84580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63261D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5E0DCD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E54881D" wp14:editId="1BF69C2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BC9FC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14B367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54881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ABC9FC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14B367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531B2" w14:textId="77777777" w:rsidR="001C1F33" w:rsidRDefault="001C1F33">
      <w:r>
        <w:separator/>
      </w:r>
    </w:p>
  </w:footnote>
  <w:footnote w:type="continuationSeparator" w:id="0">
    <w:p w14:paraId="4A3FCCE8" w14:textId="77777777" w:rsidR="001C1F33" w:rsidRDefault="001C1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DA0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4F45BDF" wp14:editId="5D756E3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2237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45BD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5ED2237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D12766A" wp14:editId="4855CE6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E0C45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7D927E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12766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6E0C45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7D927E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30AFB"/>
    <w:rsid w:val="001C1F33"/>
    <w:rsid w:val="00202584"/>
    <w:rsid w:val="00292ED9"/>
    <w:rsid w:val="003E1E3A"/>
    <w:rsid w:val="00404E5B"/>
    <w:rsid w:val="00414F7B"/>
    <w:rsid w:val="004355DC"/>
    <w:rsid w:val="0043669A"/>
    <w:rsid w:val="004749B4"/>
    <w:rsid w:val="00494130"/>
    <w:rsid w:val="004F3523"/>
    <w:rsid w:val="005148B5"/>
    <w:rsid w:val="005973B9"/>
    <w:rsid w:val="005B3A56"/>
    <w:rsid w:val="006060CE"/>
    <w:rsid w:val="00626B0C"/>
    <w:rsid w:val="0063497F"/>
    <w:rsid w:val="00795C27"/>
    <w:rsid w:val="00873DF0"/>
    <w:rsid w:val="008756E6"/>
    <w:rsid w:val="008A0D25"/>
    <w:rsid w:val="009A05D3"/>
    <w:rsid w:val="009B2D44"/>
    <w:rsid w:val="009C6E7F"/>
    <w:rsid w:val="00A07E82"/>
    <w:rsid w:val="00A300A3"/>
    <w:rsid w:val="00A57715"/>
    <w:rsid w:val="00A9710C"/>
    <w:rsid w:val="00AE3E37"/>
    <w:rsid w:val="00B21A57"/>
    <w:rsid w:val="00B5327E"/>
    <w:rsid w:val="00BA73B1"/>
    <w:rsid w:val="00C33602"/>
    <w:rsid w:val="00CD6F55"/>
    <w:rsid w:val="00D67A76"/>
    <w:rsid w:val="00D7314F"/>
    <w:rsid w:val="00DB28AE"/>
    <w:rsid w:val="00DE3104"/>
    <w:rsid w:val="00E92CA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D88FD"/>
  <w15:docId w15:val="{6E96E65E-A448-4983-98D1-704269E6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0258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ilpeechanda37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Shilpee Chanda</cp:lastModifiedBy>
  <cp:revision>2</cp:revision>
  <dcterms:created xsi:type="dcterms:W3CDTF">2018-04-05T16:15:00Z</dcterms:created>
  <dcterms:modified xsi:type="dcterms:W3CDTF">2018-04-05T16:15:00Z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