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body>
    <w:p>
      <w:pPr>
        <w:pStyle w:val="Para1"/>
        <w:spacing w:line="375" w:lineRule="auto"/>
        <w:ind w:left="0" w:hanging="0"/>
        <w:rPr>
          <w:sz w:val="20"/>
          <w:szCs w:val="20"/>
          <w:rFonts w:ascii="Times New Roman" w:eastAsia="Times New Roman" w:hAnsi="Times New Roman"/>
        </w:rPr>
      </w:pPr>
      <w:r>
        <w:rPr>
          <w:rStyle w:val="Character1"/>
          <w:b/>
          <w:sz w:val="24"/>
          <w:szCs w:val="24"/>
        </w:rPr>
        <w:t>Authors:</w:t>
      </w:r>
    </w:p>
    <w:p>
      <w:pPr>
        <w:pStyle w:val="Para1"/>
        <w:spacing w:line="375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b/>
          <w:sz w:val="24"/>
          <w:szCs w:val="24"/>
        </w:rPr>
        <w:t xml:space="preserve"> Amal F. Al Dawi</w:t>
      </w:r>
      <w:r>
        <w:rPr>
          <w:rStyle w:val="Character3"/>
          <w:vertAlign w:val="superscript"/>
          <w:sz w:val="24"/>
          <w:szCs w:val="24"/>
        </w:rPr>
        <w:t>1</w:t>
      </w:r>
      <w:r>
        <w:rPr>
          <w:rStyle w:val="Character1"/>
          <w:b/>
          <w:sz w:val="24"/>
          <w:szCs w:val="24"/>
        </w:rPr>
        <w:t xml:space="preserve">, Dina T. babiker</w:t>
      </w:r>
      <w:r>
        <w:rPr>
          <w:rStyle w:val="Character3"/>
          <w:vertAlign w:val="superscript"/>
          <w:sz w:val="24"/>
          <w:szCs w:val="24"/>
        </w:rPr>
        <w:t>1</w:t>
      </w:r>
      <w:r>
        <w:rPr>
          <w:rStyle w:val="Character1"/>
          <w:b/>
          <w:sz w:val="24"/>
          <w:szCs w:val="24"/>
        </w:rPr>
        <w:t xml:space="preserve">, Nada Alkatem</w:t>
      </w:r>
      <w:r>
        <w:rPr>
          <w:rStyle w:val="Character3"/>
          <w:vertAlign w:val="superscript"/>
          <w:sz w:val="24"/>
          <w:szCs w:val="24"/>
        </w:rPr>
        <w:t>1</w:t>
      </w:r>
      <w:r>
        <w:rPr>
          <w:rStyle w:val="Character1"/>
          <w:b/>
          <w:sz w:val="24"/>
          <w:szCs w:val="24"/>
        </w:rPr>
        <w:t xml:space="preserve">, Mohamed O Hussien</w:t>
      </w:r>
      <w:r>
        <w:rPr>
          <w:rStyle w:val="Character3"/>
          <w:vertAlign w:val="superscript"/>
          <w:sz w:val="24"/>
          <w:szCs w:val="24"/>
        </w:rPr>
        <w:t xml:space="preserve"> 1</w:t>
      </w:r>
      <w:r>
        <w:rPr>
          <w:rStyle w:val="Character1"/>
          <w:b/>
          <w:sz w:val="24"/>
          <w:szCs w:val="24"/>
        </w:rPr>
        <w:t xml:space="preserve">sahar M </w:t>
      </w:r>
      <w:r>
        <w:rPr>
          <w:rStyle w:val="Character1"/>
          <w:b/>
          <w:sz w:val="24"/>
          <w:szCs w:val="24"/>
        </w:rPr>
        <w:t>Bakhiet</w:t>
      </w:r>
      <w:r>
        <w:rPr>
          <w:rStyle w:val="Character3"/>
          <w:vertAlign w:val="superscript"/>
          <w:sz w:val="24"/>
          <w:szCs w:val="24"/>
        </w:rPr>
        <w:t>1</w:t>
      </w:r>
      <w:r>
        <w:rPr>
          <w:rStyle w:val="Character1"/>
          <w:b/>
          <w:sz w:val="24"/>
          <w:szCs w:val="24"/>
        </w:rPr>
        <w:t xml:space="preserve"> , Maowia M. Mukhtar</w:t>
      </w:r>
      <w:r>
        <w:rPr>
          <w:rStyle w:val="Character3"/>
          <w:vertAlign w:val="superscript"/>
          <w:sz w:val="24"/>
          <w:szCs w:val="24"/>
        </w:rPr>
        <w:t>1</w:t>
      </w:r>
      <w:r>
        <w:rPr>
          <w:rStyle w:val="Character1"/>
          <w:b/>
          <w:sz w:val="24"/>
          <w:szCs w:val="24"/>
        </w:rPr>
        <w:t>.</w:t>
      </w: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Arial" w:eastAsia="Arial" w:hAnsi="Arial"/>
        </w:rPr>
      </w:pP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Arial" w:eastAsia="Arial" w:hAnsi="Arial"/>
        </w:rPr>
      </w:pP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5"/>
          <w:b/>
          <w:sz w:val="24"/>
          <w:szCs w:val="24"/>
        </w:rPr>
        <w:t xml:space="preserve">1- Institute of Endemic Diseases, University of Khartoum, Khartoum, Sudan.</w:t>
      </w: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Arial" w:eastAsia="Arial" w:hAnsi="Arial"/>
        </w:rPr>
      </w:pP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Arial" w:eastAsia="Arial" w:hAnsi="Arial"/>
        </w:rPr>
      </w:pP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Arial" w:eastAsia="Arial" w:hAnsi="Arial"/>
        </w:rPr>
      </w:pP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Arial" w:eastAsia="Arial" w:hAnsi="Arial"/>
        </w:rPr>
      </w:pP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6"/>
          <w:b/>
          <w:sz w:val="24"/>
          <w:szCs w:val="24"/>
        </w:rPr>
        <w:t xml:space="preserve">Correspondence Author:</w:t>
      </w: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5"/>
          <w:b/>
          <w:sz w:val="24"/>
          <w:szCs w:val="24"/>
        </w:rPr>
        <w:t xml:space="preserve">Prof. MM Mukhtar</w:t>
      </w: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5"/>
          <w:b/>
          <w:sz w:val="24"/>
          <w:szCs w:val="24"/>
        </w:rPr>
        <w:t xml:space="preserve"> mmukhtar@tropmedicine.org</w:t>
      </w: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5"/>
          <w:b/>
          <w:sz w:val="24"/>
          <w:szCs w:val="24"/>
        </w:rPr>
        <w:t xml:space="preserve">Institute of Endemic Diseases</w:t>
      </w: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5"/>
          <w:b/>
          <w:sz w:val="24"/>
          <w:szCs w:val="24"/>
        </w:rPr>
        <w:t xml:space="preserve">University of Khartoum</w:t>
      </w: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5"/>
          <w:b/>
          <w:sz w:val="24"/>
          <w:szCs w:val="24"/>
        </w:rPr>
        <w:t xml:space="preserve">P O. Box 11463</w:t>
      </w: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5"/>
          <w:b/>
          <w:sz w:val="24"/>
          <w:szCs w:val="24"/>
        </w:rPr>
        <w:t xml:space="preserve">Khartoum – Sudan</w:t>
      </w: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Arial" w:eastAsia="Arial" w:hAnsi="Arial"/>
        </w:rPr>
      </w:pP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Arial" w:eastAsia="Arial" w:hAnsi="Arial"/>
        </w:rPr>
      </w:pP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Arial" w:eastAsia="Arial" w:hAnsi="Arial"/>
        </w:rPr>
      </w:pP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Arial" w:eastAsia="Arial" w:hAnsi="Arial"/>
        </w:rPr>
      </w:pP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Arial" w:eastAsia="Arial" w:hAnsi="Arial"/>
        </w:rPr>
      </w:pP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Arial" w:eastAsia="Arial" w:hAnsi="Arial"/>
        </w:rPr>
      </w:pPr>
    </w:p>
    <w:p>
      <w:pPr>
        <w:pStyle w:val="Para2"/>
        <w:spacing w:line="354" w:lineRule="auto"/>
        <w:ind w:left="0" w:hanging="0"/>
        <w:rPr>
          <w:sz w:val="24"/>
          <w:szCs w:val="24"/>
          <w:sz w:val="24"/>
          <w:szCs w:val="24"/>
          <w:rFonts w:ascii="Arial" w:eastAsia="Arial" w:hAnsi="Arial"/>
        </w:rPr>
      </w:pPr>
    </w:p>
    <w:p>
      <w:pPr>
        <w:pStyle w:val="Para3"/>
        <w:spacing w:line="229" w:lineRule="auto"/>
        <w:ind w:left="0" w:hanging="0"/>
        <w:rPr>
          <w:sz w:val="28"/>
          <w:szCs w:val="28"/>
          <w:sz w:val="28"/>
          <w:szCs w:val="28"/>
          <w:rFonts w:ascii="Arial" w:eastAsia="Arial" w:hAnsi="Arial"/>
        </w:rPr>
      </w:pPr>
    </w:p>
    <w:p>
      <w:pPr>
        <w:pStyle w:val="Para3"/>
        <w:spacing w:line="229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8"/>
          <w:b/>
          <w:sz w:val="28"/>
          <w:szCs w:val="28"/>
        </w:rPr>
        <w:t>Abstract:</w:t>
      </w:r>
    </w:p>
    <w:p>
      <w:pPr>
        <w:pStyle w:val="Para3"/>
        <w:spacing w:line="229" w:lineRule="auto"/>
        <w:ind w:left="0" w:hanging="0"/>
        <w:rPr>
          <w:sz w:val="28"/>
          <w:szCs w:val="28"/>
          <w:sz w:val="28"/>
          <w:szCs w:val="28"/>
          <w:rFonts w:ascii="Arial" w:eastAsia="Arial" w:hAnsi="Arial"/>
        </w:rPr>
      </w:pPr>
    </w:p>
    <w:p>
      <w:pPr>
        <w:pStyle w:val="Para4"/>
        <w:spacing w:line="500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b/>
          <w:sz w:val="24"/>
          <w:szCs w:val="24"/>
        </w:rPr>
        <w:t xml:space="preserve">Introduction: </w:t>
      </w:r>
      <w:r>
        <w:rPr>
          <w:rStyle w:val="Character9"/>
          <w:sz w:val="24"/>
          <w:szCs w:val="24"/>
        </w:rPr>
        <w:t xml:space="preserve">Protozoa of the genus Leishmania cause a wide variety of pathologies ranging </w:t>
      </w:r>
      <w:r>
        <w:rPr>
          <w:rStyle w:val="Character9"/>
          <w:sz w:val="24"/>
          <w:szCs w:val="24"/>
        </w:rPr>
        <w:t xml:space="preserve">from self-healing skin lesions to visceral damage, depending on the parasite species. The </w:t>
      </w:r>
      <w:r>
        <w:rPr>
          <w:rStyle w:val="Character9"/>
          <w:sz w:val="24"/>
          <w:szCs w:val="24"/>
        </w:rPr>
        <w:t xml:space="preserve">outcome of infection depends on the quality of the adaptive immune response, which is </w:t>
      </w:r>
      <w:r>
        <w:rPr>
          <w:rStyle w:val="Character9"/>
          <w:sz w:val="24"/>
          <w:szCs w:val="24"/>
        </w:rPr>
        <w:t xml:space="preserve">determined by parasite factors and the host genetic background. To establish successful </w:t>
      </w:r>
      <w:r>
        <w:rPr>
          <w:rStyle w:val="Character9"/>
          <w:sz w:val="24"/>
          <w:szCs w:val="24"/>
        </w:rPr>
        <w:t xml:space="preserve">infection and ensure their own survival, Leishmania have developed sophisticated strategies </w:t>
      </w:r>
      <w:r>
        <w:rPr>
          <w:rStyle w:val="Character9"/>
          <w:sz w:val="24"/>
          <w:szCs w:val="24"/>
        </w:rPr>
        <w:t xml:space="preserve">to subvert the host macrophage responses.</w:t>
      </w:r>
      <w:r>
        <w:rPr>
          <w:rStyle w:val="Character10"/>
          <w:sz w:val="24"/>
          <w:szCs w:val="24"/>
        </w:rPr>
        <w:t xml:space="preserve"> </w:t>
      </w:r>
      <w:r>
        <w:rPr>
          <w:rStyle w:val="Character9"/>
          <w:sz w:val="24"/>
          <w:szCs w:val="24"/>
        </w:rPr>
        <w:t xml:space="preserve">Despite a wealth of gained crucial information, </w:t>
      </w:r>
      <w:r>
        <w:rPr>
          <w:rStyle w:val="Character9"/>
          <w:sz w:val="24"/>
          <w:szCs w:val="24"/>
        </w:rPr>
        <w:t xml:space="preserve">these strategies still remain poorly understood.</w:t>
      </w:r>
    </w:p>
    <w:p>
      <w:pPr>
        <w:pStyle w:val="Para4"/>
        <w:spacing w:line="500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9"/>
          <w:sz w:val="24"/>
          <w:szCs w:val="24"/>
        </w:rPr>
        <w:t xml:space="preserve">The immune response of Leishmaniasis patients may allow identification of the host </w:t>
      </w:r>
      <w:r>
        <w:rPr>
          <w:rStyle w:val="Character9"/>
          <w:sz w:val="24"/>
          <w:szCs w:val="24"/>
        </w:rPr>
        <w:t xml:space="preserve">immune factors associated with development of the different clinical forms. </w:t>
      </w:r>
    </w:p>
    <w:p>
      <w:pPr>
        <w:pStyle w:val="Para4"/>
        <w:spacing w:line="500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9"/>
          <w:sz w:val="24"/>
          <w:szCs w:val="24"/>
        </w:rPr>
        <w:t xml:space="preserve">Innate responses, resulting in the generation of mediators with anti-leishmanial activity, </w:t>
      </w:r>
      <w:r>
        <w:rPr>
          <w:rStyle w:val="Character9"/>
          <w:sz w:val="24"/>
          <w:szCs w:val="24"/>
        </w:rPr>
        <w:t xml:space="preserve">contribute to parasite control and help the development of efficient adaptive responses.</w:t>
      </w:r>
    </w:p>
    <w:p>
      <w:pPr>
        <w:pStyle w:val="Para4"/>
        <w:spacing w:line="500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9"/>
          <w:sz w:val="24"/>
          <w:szCs w:val="24"/>
        </w:rPr>
        <w:t xml:space="preserve">Among those, the potential contribution of members of the Toll-like receptors (TLRs) family </w:t>
      </w:r>
      <w:r>
        <w:rPr>
          <w:rStyle w:val="Character9"/>
          <w:sz w:val="24"/>
          <w:szCs w:val="24"/>
        </w:rPr>
        <w:t xml:space="preserve">in the control of </w:t>
      </w:r>
      <w:r>
        <w:rPr>
          <w:rStyle w:val="Character11"/>
          <w:i/>
          <w:sz w:val="24"/>
          <w:szCs w:val="24"/>
        </w:rPr>
        <w:t>Leishmania</w:t>
      </w:r>
      <w:r>
        <w:rPr>
          <w:rStyle w:val="Character9"/>
          <w:sz w:val="24"/>
          <w:szCs w:val="24"/>
        </w:rPr>
        <w:t xml:space="preserve"> infections started to be investigated about a decade ago. </w:t>
      </w:r>
      <w:r>
        <w:rPr>
          <w:rStyle w:val="Character9"/>
          <w:sz w:val="24"/>
          <w:szCs w:val="24"/>
        </w:rPr>
        <w:t xml:space="preserve">Although most studies appoint a protective role for TLRs, there is growing evidence that in </w:t>
      </w:r>
      <w:r>
        <w:rPr>
          <w:rStyle w:val="Character9"/>
          <w:sz w:val="24"/>
          <w:szCs w:val="24"/>
        </w:rPr>
        <w:t xml:space="preserve">some cases, TLRs facilitate infection.</w:t>
      </w:r>
    </w:p>
    <w:p>
      <w:pPr>
        <w:pStyle w:val="Para4"/>
        <w:spacing w:line="500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9"/>
          <w:sz w:val="24"/>
          <w:szCs w:val="24"/>
        </w:rPr>
        <w:t xml:space="preserve"> </w:t>
      </w:r>
      <w:r>
        <w:rPr>
          <w:rStyle w:val="Character1"/>
          <w:b/>
          <w:sz w:val="24"/>
          <w:szCs w:val="24"/>
        </w:rPr>
        <w:t>Objective:</w:t>
      </w:r>
      <w:r>
        <w:rPr>
          <w:rStyle w:val="Character9"/>
          <w:sz w:val="24"/>
          <w:szCs w:val="24"/>
        </w:rPr>
        <w:t xml:space="preserve"> we analyze the expression profile of innate immune markers by human (THP1) </w:t>
      </w:r>
      <w:r>
        <w:rPr>
          <w:rStyle w:val="Character9"/>
          <w:sz w:val="24"/>
          <w:szCs w:val="24"/>
        </w:rPr>
        <w:t xml:space="preserve">macrophage cell line infected with</w:t>
      </w:r>
      <w:r>
        <w:rPr>
          <w:rStyle w:val="Character11"/>
          <w:i/>
          <w:sz w:val="24"/>
          <w:szCs w:val="24"/>
        </w:rPr>
        <w:t xml:space="preserve"> leishmania donovani </w:t>
      </w:r>
      <w:r>
        <w:rPr>
          <w:rStyle w:val="Character9"/>
          <w:sz w:val="24"/>
          <w:szCs w:val="24"/>
        </w:rPr>
        <w:t xml:space="preserve">from CL, VL, PKDL and ML</w:t>
      </w:r>
      <w:r>
        <w:rPr>
          <w:rStyle w:val="Character11"/>
          <w:i/>
          <w:sz w:val="24"/>
          <w:szCs w:val="24"/>
        </w:rPr>
        <w:t xml:space="preserve"> </w:t>
      </w:r>
      <w:r>
        <w:rPr>
          <w:rStyle w:val="Character9"/>
          <w:sz w:val="24"/>
          <w:szCs w:val="24"/>
        </w:rPr>
        <w:t xml:space="preserve">clinical </w:t>
      </w:r>
      <w:r>
        <w:rPr>
          <w:rStyle w:val="Character9"/>
          <w:sz w:val="24"/>
          <w:szCs w:val="24"/>
        </w:rPr>
        <w:t xml:space="preserve">patients , highlights recent advances in TLR function from starting </w:t>
      </w:r>
      <w:r>
        <w:rPr>
          <w:rStyle w:val="Character11"/>
          <w:i/>
          <w:sz w:val="24"/>
          <w:szCs w:val="24"/>
        </w:rPr>
        <w:t>Leishmania</w:t>
      </w:r>
      <w:r>
        <w:rPr>
          <w:rStyle w:val="Character9"/>
          <w:sz w:val="24"/>
          <w:szCs w:val="24"/>
        </w:rPr>
        <w:t xml:space="preserve"> infections and </w:t>
      </w:r>
      <w:r>
        <w:rPr>
          <w:rStyle w:val="Character9"/>
          <w:sz w:val="24"/>
          <w:szCs w:val="24"/>
        </w:rPr>
        <w:t xml:space="preserve">discuss their potential role in restraining parasite growth versus yielding disease. The </w:t>
      </w:r>
      <w:r>
        <w:rPr>
          <w:rStyle w:val="Character9"/>
          <w:sz w:val="24"/>
          <w:szCs w:val="24"/>
        </w:rPr>
        <w:t xml:space="preserve">supernatants from </w:t>
      </w:r>
      <w:r>
        <w:rPr>
          <w:rStyle w:val="Character11"/>
          <w:i/>
          <w:sz w:val="24"/>
          <w:szCs w:val="24"/>
        </w:rPr>
        <w:t xml:space="preserve">L.donovani </w:t>
      </w:r>
      <w:r>
        <w:rPr>
          <w:rStyle w:val="Character9"/>
          <w:sz w:val="24"/>
          <w:szCs w:val="24"/>
        </w:rPr>
        <w:t xml:space="preserve">from different clinical forms infected human macrophage cell </w:t>
      </w:r>
      <w:r>
        <w:rPr>
          <w:rStyle w:val="Character9"/>
          <w:sz w:val="24"/>
          <w:szCs w:val="24"/>
        </w:rPr>
        <w:t xml:space="preserve">line (THP1) were used to measure IL-1ß, IL-6 and TNF-α cytokines levels.   </w:t>
      </w:r>
    </w:p>
    <w:p>
      <w:pPr>
        <w:pStyle w:val="Para6"/>
        <w:spacing w:line="459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5"/>
          <w:b/>
          <w:sz w:val="24"/>
          <w:szCs w:val="24"/>
        </w:rPr>
        <w:t>Methods:</w:t>
      </w:r>
      <w:r>
        <w:rPr>
          <w:rStyle w:val="Character4"/>
          <w:sz w:val="24"/>
          <w:szCs w:val="24"/>
        </w:rPr>
        <w:t xml:space="preserve"> A laboratory based analytical study was conducted at the institute of </w:t>
      </w:r>
      <w:r>
        <w:rPr>
          <w:rStyle w:val="Character4"/>
          <w:sz w:val="24"/>
          <w:szCs w:val="24"/>
        </w:rPr>
        <w:t xml:space="preserve">endemic diseases using in/vitro infection of human (THP1) Macrophage cell line and </w:t>
      </w:r>
      <w:r>
        <w:rPr>
          <w:rStyle w:val="Character4"/>
          <w:sz w:val="24"/>
          <w:szCs w:val="24"/>
        </w:rPr>
        <w:t xml:space="preserve">leishmania isolates different from cryobank in the institute . The expression profile of </w:t>
      </w:r>
      <w:r>
        <w:rPr>
          <w:rStyle w:val="Character4"/>
          <w:sz w:val="24"/>
          <w:szCs w:val="24"/>
        </w:rPr>
        <w:t xml:space="preserve">Tolls like receptor 2, 4 and 9 and expression of IFN-γ and IL-10 cytokine was </w:t>
      </w:r>
      <w:r>
        <w:rPr>
          <w:rStyle w:val="Character4"/>
          <w:sz w:val="24"/>
          <w:szCs w:val="24"/>
        </w:rPr>
        <w:t xml:space="preserve">measured using Real Time PCR .The production of IL-1ß, IL-6 and TNF-α cytokines </w:t>
      </w:r>
      <w:r>
        <w:rPr>
          <w:rStyle w:val="Character4"/>
          <w:sz w:val="24"/>
          <w:szCs w:val="24"/>
        </w:rPr>
        <w:t xml:space="preserve">was measured using captured   ELISA.</w:t>
      </w:r>
    </w:p>
    <w:p>
      <w:pPr>
        <w:pStyle w:val="Para4"/>
        <w:spacing w:line="500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b/>
          <w:sz w:val="24"/>
          <w:szCs w:val="24"/>
        </w:rPr>
        <w:t>Results:</w:t>
      </w:r>
      <w:r>
        <w:rPr>
          <w:rStyle w:val="Character9"/>
          <w:sz w:val="24"/>
          <w:szCs w:val="24"/>
        </w:rPr>
        <w:t xml:space="preserve"> A significant increase in the expression of TLR 2 by THP-1 cell line infected with </w:t>
      </w:r>
      <w:r>
        <w:rPr>
          <w:rStyle w:val="Character11"/>
          <w:i/>
          <w:sz w:val="24"/>
          <w:szCs w:val="24"/>
        </w:rPr>
        <w:t>L.donovani</w:t>
      </w:r>
      <w:r>
        <w:rPr>
          <w:rStyle w:val="Character9"/>
          <w:sz w:val="24"/>
          <w:szCs w:val="24"/>
        </w:rPr>
        <w:t xml:space="preserve"> isolate from mucosal patient was documented. An infection of THP-1 by live </w:t>
      </w:r>
      <w:r>
        <w:rPr>
          <w:rStyle w:val="Character11"/>
          <w:i/>
          <w:sz w:val="24"/>
          <w:szCs w:val="24"/>
        </w:rPr>
        <w:t>Leishmania</w:t>
      </w:r>
      <w:r>
        <w:rPr>
          <w:rStyle w:val="Character9"/>
          <w:sz w:val="24"/>
          <w:szCs w:val="24"/>
        </w:rPr>
        <w:t xml:space="preserve"> </w:t>
      </w:r>
      <w:r>
        <w:rPr>
          <w:rStyle w:val="Character11"/>
          <w:i/>
          <w:sz w:val="24"/>
          <w:szCs w:val="24"/>
        </w:rPr>
        <w:t>donovani</w:t>
      </w:r>
      <w:r>
        <w:rPr>
          <w:rStyle w:val="Character9"/>
          <w:sz w:val="24"/>
          <w:szCs w:val="24"/>
        </w:rPr>
        <w:t xml:space="preserve"> mucosal isolates also showed a higher frequency gene expression of </w:t>
      </w:r>
      <w:r>
        <w:rPr>
          <w:rStyle w:val="Character9"/>
          <w:sz w:val="24"/>
          <w:szCs w:val="24"/>
        </w:rPr>
        <w:t xml:space="preserve">TLR4 and TLR9. mRNA analysis showed significantly increased production of IFN- γ </w:t>
      </w:r>
      <w:r>
        <w:rPr>
          <w:rStyle w:val="Character9"/>
          <w:sz w:val="24"/>
          <w:szCs w:val="24"/>
        </w:rPr>
        <w:t xml:space="preserve">expression by human macrophage cell line following their infection by </w:t>
      </w:r>
      <w:r>
        <w:rPr>
          <w:rStyle w:val="Character11"/>
          <w:i/>
          <w:sz w:val="24"/>
          <w:szCs w:val="24"/>
        </w:rPr>
        <w:t xml:space="preserve">ML L.donovani</w:t>
      </w:r>
      <w:r>
        <w:rPr>
          <w:rStyle w:val="Character9"/>
          <w:sz w:val="24"/>
          <w:szCs w:val="24"/>
        </w:rPr>
        <w:t xml:space="preserve"> and </w:t>
      </w:r>
      <w:r>
        <w:rPr>
          <w:rStyle w:val="Character11"/>
          <w:i/>
          <w:sz w:val="24"/>
          <w:szCs w:val="24"/>
        </w:rPr>
        <w:t>CL</w:t>
      </w:r>
      <w:r>
        <w:rPr>
          <w:rStyle w:val="Character9"/>
          <w:sz w:val="24"/>
          <w:szCs w:val="24"/>
        </w:rPr>
        <w:t xml:space="preserve"> </w:t>
      </w:r>
      <w:r>
        <w:rPr>
          <w:rStyle w:val="Character11"/>
          <w:i/>
          <w:sz w:val="24"/>
          <w:szCs w:val="24"/>
        </w:rPr>
        <w:t>L.donovani</w:t>
      </w:r>
      <w:r>
        <w:rPr>
          <w:rStyle w:val="Character9"/>
          <w:sz w:val="24"/>
          <w:szCs w:val="24"/>
        </w:rPr>
        <w:t xml:space="preserve"> parasites and a high expression IL-10 mRNA by human macrophage cell lines </w:t>
      </w:r>
      <w:r>
        <w:rPr>
          <w:rStyle w:val="Character9"/>
          <w:sz w:val="24"/>
          <w:szCs w:val="24"/>
        </w:rPr>
        <w:t xml:space="preserve">infected by </w:t>
      </w:r>
      <w:r>
        <w:rPr>
          <w:rStyle w:val="Character11"/>
          <w:i/>
          <w:sz w:val="24"/>
          <w:szCs w:val="24"/>
        </w:rPr>
        <w:t>ML</w:t>
      </w:r>
      <w:r>
        <w:rPr>
          <w:rStyle w:val="Character9"/>
          <w:sz w:val="24"/>
          <w:szCs w:val="24"/>
        </w:rPr>
        <w:t xml:space="preserve"> </w:t>
      </w:r>
      <w:r>
        <w:rPr>
          <w:rStyle w:val="Character11"/>
          <w:i/>
          <w:sz w:val="24"/>
          <w:szCs w:val="24"/>
        </w:rPr>
        <w:t>Leishmania</w:t>
      </w:r>
      <w:r>
        <w:rPr>
          <w:rStyle w:val="Character9"/>
          <w:sz w:val="24"/>
          <w:szCs w:val="24"/>
        </w:rPr>
        <w:t xml:space="preserve"> </w:t>
      </w:r>
      <w:r>
        <w:rPr>
          <w:rStyle w:val="Character11"/>
          <w:i/>
          <w:sz w:val="24"/>
          <w:szCs w:val="24"/>
        </w:rPr>
        <w:t>donovani</w:t>
      </w:r>
      <w:r>
        <w:rPr>
          <w:rStyle w:val="Character9"/>
          <w:sz w:val="24"/>
          <w:szCs w:val="24"/>
        </w:rPr>
        <w:t xml:space="preserve">, compared with other clinical forms of leishmania </w:t>
      </w:r>
      <w:r>
        <w:rPr>
          <w:rStyle w:val="Character9"/>
          <w:sz w:val="24"/>
          <w:szCs w:val="24"/>
        </w:rPr>
        <w:t xml:space="preserve">parasites. A lower frequency of IL-10 mRNA and IFN- γ mRNA were detected in stimulated </w:t>
      </w:r>
      <w:r>
        <w:rPr>
          <w:rStyle w:val="Character9"/>
          <w:sz w:val="24"/>
          <w:szCs w:val="24"/>
        </w:rPr>
        <w:t xml:space="preserve">human macrophage cell lines infected with PKDL Leishmania isolates.</w:t>
      </w:r>
    </w:p>
    <w:p>
      <w:pPr>
        <w:pStyle w:val="Para4"/>
        <w:spacing w:line="500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9"/>
          <w:sz w:val="24"/>
          <w:szCs w:val="24"/>
        </w:rPr>
        <w:t xml:space="preserve">High concentration of innate cytokine (IL-6 and IL-1β), IL-6 was measured in supernatant of </w:t>
      </w:r>
      <w:r>
        <w:rPr>
          <w:rStyle w:val="Character9"/>
          <w:sz w:val="24"/>
          <w:szCs w:val="24"/>
        </w:rPr>
        <w:t xml:space="preserve">human macrophage cell lines infected with </w:t>
      </w:r>
      <w:r>
        <w:rPr>
          <w:rStyle w:val="Character11"/>
          <w:i/>
          <w:sz w:val="24"/>
          <w:szCs w:val="24"/>
        </w:rPr>
        <w:t>CL</w:t>
      </w:r>
      <w:r>
        <w:rPr>
          <w:rStyle w:val="Character9"/>
          <w:sz w:val="24"/>
          <w:szCs w:val="24"/>
        </w:rPr>
        <w:t xml:space="preserve"> </w:t>
      </w:r>
      <w:r>
        <w:rPr>
          <w:rStyle w:val="Character11"/>
          <w:i/>
          <w:sz w:val="24"/>
          <w:szCs w:val="24"/>
        </w:rPr>
        <w:t xml:space="preserve">L.donovani </w:t>
      </w:r>
      <w:r>
        <w:rPr>
          <w:rStyle w:val="Character9"/>
          <w:sz w:val="24"/>
          <w:szCs w:val="24"/>
        </w:rPr>
        <w:t xml:space="preserve">compared with </w:t>
      </w:r>
      <w:r>
        <w:rPr>
          <w:rStyle w:val="Character11"/>
          <w:i/>
          <w:sz w:val="24"/>
          <w:szCs w:val="24"/>
        </w:rPr>
        <w:t xml:space="preserve">VL, ML</w:t>
      </w:r>
      <w:r>
        <w:rPr>
          <w:rStyle w:val="Character9"/>
          <w:sz w:val="24"/>
          <w:szCs w:val="24"/>
        </w:rPr>
        <w:t xml:space="preserve"> leishmania </w:t>
      </w:r>
      <w:r>
        <w:rPr>
          <w:rStyle w:val="Character9"/>
          <w:sz w:val="24"/>
          <w:szCs w:val="24"/>
        </w:rPr>
        <w:t xml:space="preserve">isolates, IL-1β production was higher in human macrophage cell lines infected with </w:t>
      </w:r>
      <w:r>
        <w:rPr>
          <w:rStyle w:val="Character11"/>
          <w:i/>
          <w:sz w:val="24"/>
          <w:szCs w:val="24"/>
        </w:rPr>
        <w:t>ML</w:t>
      </w:r>
      <w:r>
        <w:rPr>
          <w:rStyle w:val="Character9"/>
          <w:sz w:val="24"/>
          <w:szCs w:val="24"/>
        </w:rPr>
        <w:t xml:space="preserve"> </w:t>
      </w:r>
      <w:r>
        <w:rPr>
          <w:rStyle w:val="Character11"/>
          <w:i/>
          <w:sz w:val="24"/>
          <w:szCs w:val="24"/>
        </w:rPr>
        <w:t>L.donovani</w:t>
      </w:r>
      <w:r>
        <w:rPr>
          <w:rStyle w:val="Character9"/>
          <w:sz w:val="24"/>
          <w:szCs w:val="24"/>
        </w:rPr>
        <w:t xml:space="preserve">  .A high concentration of TNF-α was produced by human macrophage cell lines </w:t>
      </w:r>
      <w:r>
        <w:rPr>
          <w:rStyle w:val="Character9"/>
          <w:sz w:val="24"/>
          <w:szCs w:val="24"/>
        </w:rPr>
        <w:t xml:space="preserve">infected with </w:t>
      </w:r>
      <w:r>
        <w:rPr>
          <w:rStyle w:val="Character11"/>
          <w:i/>
          <w:sz w:val="24"/>
          <w:szCs w:val="24"/>
        </w:rPr>
        <w:t>VL</w:t>
      </w:r>
      <w:r>
        <w:rPr>
          <w:rStyle w:val="Character9"/>
          <w:sz w:val="24"/>
          <w:szCs w:val="24"/>
        </w:rPr>
        <w:t xml:space="preserve"> </w:t>
      </w:r>
      <w:r>
        <w:rPr>
          <w:rStyle w:val="Character11"/>
          <w:i/>
          <w:sz w:val="24"/>
          <w:szCs w:val="24"/>
        </w:rPr>
        <w:t xml:space="preserve">L. donovani </w:t>
      </w:r>
      <w:r>
        <w:rPr>
          <w:rStyle w:val="Character9"/>
          <w:sz w:val="24"/>
          <w:szCs w:val="24"/>
        </w:rPr>
        <w:t xml:space="preserve">parasites. </w:t>
      </w:r>
    </w:p>
    <w:p>
      <w:pPr>
        <w:pStyle w:val="Para5"/>
        <w:spacing w:line="500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1"/>
          <w:b/>
          <w:sz w:val="24"/>
          <w:szCs w:val="24"/>
        </w:rPr>
        <w:t>Conclusion:</w:t>
      </w:r>
      <w:r>
        <w:rPr>
          <w:rStyle w:val="Character9"/>
          <w:sz w:val="24"/>
          <w:szCs w:val="24"/>
        </w:rPr>
        <w:t xml:space="preserve"> Our data suggest that’s significant increase in the expression of TLR 2 by THP-1 </w:t>
      </w:r>
      <w:r>
        <w:rPr>
          <w:rStyle w:val="Character9"/>
          <w:sz w:val="24"/>
          <w:szCs w:val="24"/>
        </w:rPr>
        <w:t xml:space="preserve">cell line infected with </w:t>
      </w:r>
      <w:r>
        <w:rPr>
          <w:rStyle w:val="Character11"/>
          <w:i/>
          <w:sz w:val="24"/>
          <w:szCs w:val="24"/>
        </w:rPr>
        <w:t>L.donovani</w:t>
      </w:r>
      <w:r>
        <w:rPr>
          <w:rStyle w:val="Character9"/>
          <w:sz w:val="24"/>
          <w:szCs w:val="24"/>
        </w:rPr>
        <w:t xml:space="preserve"> isolate from mucosal patient was documented with an </w:t>
      </w:r>
      <w:r>
        <w:rPr>
          <w:rStyle w:val="Character9"/>
          <w:sz w:val="24"/>
          <w:szCs w:val="24"/>
        </w:rPr>
        <w:t xml:space="preserve">increase in TNF-α production. Leishmania isolates from mucosal and PKDL patients induced </w:t>
      </w:r>
      <w:r>
        <w:rPr>
          <w:rStyle w:val="Character9"/>
          <w:sz w:val="24"/>
          <w:szCs w:val="24"/>
        </w:rPr>
        <w:t xml:space="preserve">signifant gene expression of TLR 4 and TLR9. These results could contribute to better </w:t>
      </w:r>
      <w:r>
        <w:rPr>
          <w:rStyle w:val="Character9"/>
          <w:sz w:val="24"/>
          <w:szCs w:val="24"/>
        </w:rPr>
        <w:t xml:space="preserve">understanding of the dynamics of gene expression in host cells during leishmaniasis. </w:t>
      </w:r>
      <w:r>
        <w:rPr>
          <w:rStyle w:val="Character9"/>
          <w:sz w:val="24"/>
          <w:szCs w:val="24"/>
        </w:rPr>
        <w:t xml:space="preserve">Leishmania mucosal isolates stimulates co- inflammatory cytokines.</w:t>
      </w:r>
    </w:p>
    <w:p>
      <w:pPr>
        <w:pStyle w:val="Para3"/>
        <w:spacing w:line="229" w:lineRule="auto"/>
        <w:ind w:left="0" w:hanging="0"/>
        <w:rPr>
          <w:sz w:val="24"/>
          <w:szCs w:val="24"/>
          <w:sz w:val="24"/>
          <w:szCs w:val="24"/>
          <w:rFonts w:ascii="Arial" w:eastAsia="Arial" w:hAnsi="Arial"/>
        </w:rPr>
      </w:pPr>
    </w:p>
    <w:p>
      <w:pPr>
        <w:pStyle w:val="Para3"/>
        <w:spacing w:line="229" w:lineRule="auto"/>
        <w:ind w:left="0" w:hanging="0"/>
        <w:rPr>
          <w:sz w:val="24"/>
          <w:szCs w:val="24"/>
          <w:sz w:val="24"/>
          <w:szCs w:val="24"/>
          <w:rFonts w:ascii="Arial" w:eastAsia="Arial" w:hAnsi="Arial"/>
        </w:rPr>
      </w:pPr>
    </w:p>
    <w:p>
      <w:pPr>
        <w:pStyle w:val="Para6"/>
        <w:spacing w:line="459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5"/>
          <w:b/>
          <w:sz w:val="24"/>
          <w:szCs w:val="24"/>
        </w:rPr>
        <w:t xml:space="preserve">Key words: </w:t>
      </w:r>
      <w:r>
        <w:rPr>
          <w:rStyle w:val="Character12"/>
          <w:i/>
          <w:sz w:val="22"/>
          <w:szCs w:val="22"/>
        </w:rPr>
        <w:t xml:space="preserve">Leishmania donovani </w:t>
      </w:r>
      <w:r>
        <w:rPr>
          <w:rStyle w:val="Character13"/>
          <w:sz w:val="22"/>
          <w:szCs w:val="22"/>
        </w:rPr>
        <w:t xml:space="preserve">–Toll Like receptors   (TLR2 - TLR4 – TRL9) – cytokines (</w:t>
      </w:r>
      <w:r>
        <w:rPr>
          <w:rStyle w:val="Character4"/>
          <w:sz w:val="24"/>
          <w:szCs w:val="24"/>
        </w:rPr>
        <w:t xml:space="preserve">IL-1ß, </w:t>
      </w:r>
      <w:r>
        <w:rPr>
          <w:rStyle w:val="Character4"/>
          <w:sz w:val="24"/>
          <w:szCs w:val="24"/>
        </w:rPr>
        <w:t xml:space="preserve">IL-6 and TNF-α</w:t>
      </w:r>
      <w:r>
        <w:rPr>
          <w:rStyle w:val="Character13"/>
          <w:sz w:val="22"/>
          <w:szCs w:val="22"/>
        </w:rPr>
        <w:t>)</w:t>
      </w:r>
    </w:p>
    <w:p>
      <w:pPr>
        <w:pStyle w:val="Para0"/>
        <w:spacing w:line="312" w:lineRule="auto"/>
        <w:ind w:left="0" w:hanging="0"/>
        <w:rPr>
          <w:sz w:val="20"/>
          <w:szCs w:val="20"/>
          <w:rFonts w:ascii="Times New Roman" w:eastAsia="Times New Roman" w:hAnsi="Times New Roman"/>
        </w:rPr>
      </w:pPr>
    </w:p>
    <w:sectPr>
      <w:type w:val="nextPage"/>
      <w:pgSz w:w="11906" w:h="16838"/>
      <w:pgMar w:top="1701" w:right="1440" w:bottom="1440" w:left="1440" w:header="708" w:footer="708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Arial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mbria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굴림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4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  <w:sz w:val="20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customStyle="1" w:styleId="Para0">
    <w:name w:val="ParaAttribute0"/>
    <w:pPr>
      <w:jc w:val="left"/>
      <w:wordWrap w:val="false"/>
      <w:ind w:left="0" w:hanging="0"/>
      <w:widowControl w:val="false"/>
      <w:rPr/>
    </w:pPr>
  </w:style>
  <w:style w:type="paragraph" w:customStyle="1" w:styleId="Para1">
    <w:name w:val="ParaAttribute1"/>
    <w:pPr>
      <w:jc w:val="left"/>
      <w:wordWrap w:val="false"/>
      <w:ind w:left="0" w:hanging="0"/>
      <w:widowControl w:val="false"/>
      <w:rPr/>
    </w:pPr>
  </w:style>
  <w:style w:type="paragraph" w:customStyle="1" w:styleId="Para2">
    <w:name w:val="ParaAttribute2"/>
    <w:pPr>
      <w:jc w:val="left"/>
      <w:wordWrap w:val="false"/>
      <w:ind w:left="0" w:hanging="0"/>
      <w:widowControl w:val="false"/>
      <w:rPr/>
    </w:pPr>
  </w:style>
  <w:style w:type="paragraph" w:customStyle="1" w:styleId="Para3">
    <w:name w:val="ParaAttribute3"/>
    <w:pPr>
      <w:jc w:val="left"/>
      <w:wordWrap w:val="false"/>
      <w:ind w:left="0" w:hanging="0"/>
      <w:widowControl w:val="false"/>
      <w:rPr/>
    </w:pPr>
  </w:style>
  <w:style w:type="paragraph" w:customStyle="1" w:styleId="Para4">
    <w:name w:val="ParaAttribute4"/>
    <w:pPr>
      <w:jc w:val="left"/>
      <w:wordWrap w:val="false"/>
      <w:ind w:left="0" w:hanging="0"/>
      <w:widowControl w:val="false"/>
      <w:rPr/>
    </w:pPr>
  </w:style>
  <w:style w:type="paragraph" w:customStyle="1" w:styleId="Para5">
    <w:name w:val="ParaAttribute5"/>
    <w:pPr>
      <w:jc w:val="both"/>
      <w:wordWrap w:val="false"/>
      <w:ind w:left="0" w:hanging="0"/>
      <w:widowControl w:val="false"/>
      <w:rPr/>
    </w:pPr>
  </w:style>
  <w:style w:type="paragraph" w:customStyle="1" w:styleId="Para6">
    <w:name w:val="ParaAttribute6"/>
    <w:pPr>
      <w:jc w:val="left"/>
      <w:wordWrap w:val="false"/>
      <w:ind w:left="0" w:hanging="0"/>
      <w:widowControl w:val="false"/>
      <w:rPr/>
    </w:pPr>
  </w:style>
  <w:style w:type="paragraph" w:customStyle="1" w:styleId="Para7">
    <w:name w:val="ParaAttribute7"/>
    <w:pPr>
      <w:jc w:val="both"/>
      <w:wordWrap w:val="false"/>
      <w:ind w:left="0" w:hanging="0"/>
      <w:widowControl w:val="false"/>
      <w:rPr/>
    </w:pPr>
  </w:style>
  <w:style w:type="paragraph" w:customStyle="1" w:styleId="Para8">
    <w:name w:val="ParaAttribute8"/>
    <w:pPr>
      <w:jc w:val="both"/>
      <w:wordWrap w:val="false"/>
      <w:ind w:left="0" w:hanging="0"/>
      <w:widowControl w:val="false"/>
      <w:rPr/>
    </w:pPr>
  </w:style>
  <w:style w:type="character" w:customStyle="1" w:styleId="Character0">
    <w:name w:val="CharAttribute0"/>
    <w:rPr>
      <w:rFonts w:ascii="Times New Roman" w:eastAsia="Times New Roman"/>
    </w:rPr>
  </w:style>
  <w:style w:type="character" w:customStyle="1" w:styleId="Character1">
    <w:name w:val="CharAttribute1"/>
    <w:rPr>
      <w:rFonts w:ascii="Calibri" w:eastAsia="굴림"/>
      <w:b/>
      <w:sz w:val="24"/>
    </w:rPr>
  </w:style>
  <w:style w:type="character" w:customStyle="1" w:styleId="Character2">
    <w:name w:val="CharAttribute2"/>
    <w:rPr>
      <w:rFonts w:ascii="Times New Roman" w:eastAsia="Times New Roman"/>
      <w:sz w:val="24"/>
    </w:rPr>
  </w:style>
  <w:style w:type="character" w:customStyle="1" w:styleId="Character3">
    <w:name w:val="CharAttribute3"/>
    <w:rPr>
      <w:rFonts w:ascii="굴림" w:eastAsia="굴림"/>
      <w:vertAlign w:val="superscript"/>
      <w:sz w:val="24"/>
    </w:rPr>
  </w:style>
  <w:style w:type="character" w:customStyle="1" w:styleId="Character4">
    <w:name w:val="CharAttribute4"/>
    <w:rPr>
      <w:rFonts w:ascii="Arial" w:eastAsia="굴림"/>
      <w:sz w:val="24"/>
    </w:rPr>
  </w:style>
  <w:style w:type="character" w:customStyle="1" w:styleId="Character5">
    <w:name w:val="CharAttribute5"/>
    <w:rPr>
      <w:rFonts w:ascii="Arial" w:eastAsia="굴림"/>
      <w:b/>
      <w:sz w:val="24"/>
    </w:rPr>
  </w:style>
  <w:style w:type="character" w:customStyle="1" w:styleId="Character6">
    <w:name w:val="CharAttribute6"/>
    <w:rPr>
      <w:rFonts w:ascii="Arial" w:eastAsia="굴림"/>
      <w:u w:val="single"/>
      <w:b/>
      <w:sz w:val="24"/>
    </w:rPr>
  </w:style>
  <w:style w:type="character" w:customStyle="1" w:styleId="Character7">
    <w:name w:val="CharAttribute7"/>
    <w:rPr>
      <w:rFonts w:ascii="Arial" w:eastAsia="굴림"/>
      <w:sz w:val="28"/>
    </w:rPr>
  </w:style>
  <w:style w:type="character" w:customStyle="1" w:styleId="Character8">
    <w:name w:val="CharAttribute8"/>
    <w:rPr>
      <w:rFonts w:ascii="Arial" w:eastAsia="굴림"/>
      <w:b/>
      <w:sz w:val="28"/>
    </w:rPr>
  </w:style>
  <w:style w:type="character" w:customStyle="1" w:styleId="Character9">
    <w:name w:val="CharAttribute9"/>
    <w:rPr>
      <w:rFonts w:ascii="Calibri" w:eastAsia="굴림"/>
      <w:sz w:val="24"/>
    </w:rPr>
  </w:style>
  <w:style w:type="character" w:customStyle="1" w:styleId="Character10">
    <w:name w:val="CharAttribute10"/>
    <w:rPr>
      <w:rFonts w:ascii="Cambria" w:eastAsia="굴림"/>
      <w:sz w:val="24"/>
    </w:rPr>
  </w:style>
  <w:style w:type="character" w:customStyle="1" w:styleId="Character11">
    <w:name w:val="CharAttribute11"/>
    <w:rPr>
      <w:rFonts w:ascii="Calibri" w:eastAsia="굴림"/>
      <w:i/>
      <w:sz w:val="24"/>
    </w:rPr>
  </w:style>
  <w:style w:type="character" w:customStyle="1" w:styleId="Character12">
    <w:name w:val="CharAttribute12"/>
    <w:rPr>
      <w:rFonts w:ascii="Calibri" w:eastAsia="굴림"/>
      <w:i/>
      <w:sz w:val="22"/>
    </w:rPr>
  </w:style>
  <w:style w:type="character" w:customStyle="1" w:styleId="Character13">
    <w:name w:val="CharAttribute13"/>
    <w:rPr>
      <w:rFonts w:ascii="Calibri" w:eastAsia="굴림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3</Pages>
  <Paragraphs>0</Paragraphs>
  <Words>636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cp:lastModifiedBy> </cp:lastModifiedBy>
</cp:coreProperties>
</file>