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D26" w:rsidRPr="00631FB5" w:rsidRDefault="00911D26" w:rsidP="00911D26">
      <w:pPr>
        <w:spacing w:line="48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31FB5">
        <w:rPr>
          <w:rFonts w:ascii="Times New Roman" w:hAnsi="Times New Roman" w:cs="Times New Roman"/>
          <w:b/>
          <w:bCs/>
          <w:noProof/>
          <w:sz w:val="28"/>
          <w:szCs w:val="28"/>
          <w:lang w:eastAsia="en-IN" w:bidi="hi-IN"/>
        </w:rPr>
        <w:drawing>
          <wp:inline distT="0" distB="0" distL="0" distR="0">
            <wp:extent cx="1326865" cy="1643865"/>
            <wp:effectExtent l="19050" t="0" r="6635" b="0"/>
            <wp:docPr id="2" name="Picture 1" descr="G:\UPLOAD PIC\NIZAM 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UPLOAD PIC\NIZAM PI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7750" r="9835" b="8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865" cy="1643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1D26" w:rsidRPr="00631FB5" w:rsidRDefault="00911D26" w:rsidP="001A06EE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94C78" w:rsidRPr="00631FB5" w:rsidRDefault="00794C78" w:rsidP="001A06EE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31FB5">
        <w:rPr>
          <w:rFonts w:ascii="Times New Roman" w:hAnsi="Times New Roman" w:cs="Times New Roman"/>
          <w:b/>
          <w:bCs/>
          <w:sz w:val="28"/>
          <w:szCs w:val="28"/>
          <w:lang w:val="en-US"/>
        </w:rPr>
        <w:t>PTH</w:t>
      </w:r>
      <w:r w:rsidR="001A06EE" w:rsidRPr="00631FB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combination</w:t>
      </w:r>
      <w:r w:rsidRPr="00631FB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with anti-IL17 prevents bone loss by disruption of PTHR1/LRP-6 interaction</w:t>
      </w:r>
      <w:r w:rsidR="00911D26" w:rsidRPr="00631FB5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:rsidR="00794C78" w:rsidRPr="00631FB5" w:rsidRDefault="00794C78" w:rsidP="00794C78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</w:pPr>
      <w:proofErr w:type="spellStart"/>
      <w:r w:rsidRPr="00631FB5">
        <w:rPr>
          <w:rFonts w:ascii="Times New Roman" w:hAnsi="Times New Roman" w:cs="Times New Roman"/>
          <w:bCs/>
          <w:sz w:val="24"/>
          <w:szCs w:val="24"/>
          <w:lang w:val="en-US"/>
        </w:rPr>
        <w:t>Mohd</w:t>
      </w:r>
      <w:proofErr w:type="spellEnd"/>
      <w:r w:rsidRPr="00631FB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631FB5">
        <w:rPr>
          <w:rFonts w:ascii="Times New Roman" w:hAnsi="Times New Roman" w:cs="Times New Roman"/>
          <w:bCs/>
          <w:sz w:val="24"/>
          <w:szCs w:val="24"/>
          <w:lang w:val="en-US"/>
        </w:rPr>
        <w:t>Nizam</w:t>
      </w:r>
      <w:proofErr w:type="spellEnd"/>
      <w:r w:rsidRPr="00631FB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631FB5">
        <w:rPr>
          <w:rFonts w:ascii="Times New Roman" w:hAnsi="Times New Roman" w:cs="Times New Roman"/>
          <w:bCs/>
          <w:sz w:val="24"/>
          <w:szCs w:val="24"/>
          <w:lang w:val="en-US"/>
        </w:rPr>
        <w:t>Mansoori</w:t>
      </w:r>
      <w:proofErr w:type="spellEnd"/>
      <w:r w:rsidRPr="00631FB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 xml:space="preserve"> #</w:t>
      </w:r>
      <w:r w:rsidRPr="00631FB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631FB5">
        <w:rPr>
          <w:rFonts w:ascii="Times New Roman" w:hAnsi="Times New Roman" w:cs="Times New Roman"/>
          <w:bCs/>
          <w:sz w:val="24"/>
          <w:szCs w:val="24"/>
          <w:lang w:val="en-US"/>
        </w:rPr>
        <w:t>Priyanka</w:t>
      </w:r>
      <w:proofErr w:type="spellEnd"/>
      <w:r w:rsidRPr="00631FB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631FB5">
        <w:rPr>
          <w:rFonts w:ascii="Times New Roman" w:hAnsi="Times New Roman" w:cs="Times New Roman"/>
          <w:bCs/>
          <w:sz w:val="24"/>
          <w:szCs w:val="24"/>
          <w:lang w:val="en-US"/>
        </w:rPr>
        <w:t>Shukla</w:t>
      </w:r>
      <w:proofErr w:type="spellEnd"/>
      <w:r w:rsidRPr="00631FB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#</w:t>
      </w:r>
      <w:r w:rsidRPr="00631FB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631FB5">
        <w:rPr>
          <w:rFonts w:ascii="Times New Roman" w:hAnsi="Times New Roman" w:cs="Times New Roman"/>
          <w:bCs/>
          <w:sz w:val="24"/>
          <w:szCs w:val="24"/>
          <w:lang w:val="en-US"/>
        </w:rPr>
        <w:t>Divya</w:t>
      </w:r>
      <w:proofErr w:type="spellEnd"/>
      <w:r w:rsidRPr="00631FB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Singh</w:t>
      </w:r>
      <w:r w:rsidRPr="00631FB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*</w:t>
      </w:r>
    </w:p>
    <w:p w:rsidR="00794C78" w:rsidRPr="00631FB5" w:rsidRDefault="00794C78" w:rsidP="00794C7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31FB5">
        <w:rPr>
          <w:rFonts w:ascii="Times New Roman" w:hAnsi="Times New Roman" w:cs="Times New Roman"/>
          <w:sz w:val="24"/>
          <w:szCs w:val="24"/>
          <w:lang w:val="en-US"/>
        </w:rPr>
        <w:t xml:space="preserve">Division of Endocrinology and Centre for Research in Anabolic Skeletal Targets in Health and Illness (ASTHI), CSIR-Central Drug Research Institute, B.S. 10/1, Sector-10, </w:t>
      </w:r>
      <w:proofErr w:type="spellStart"/>
      <w:r w:rsidRPr="00631FB5">
        <w:rPr>
          <w:rFonts w:ascii="Times New Roman" w:hAnsi="Times New Roman" w:cs="Times New Roman"/>
          <w:sz w:val="24"/>
          <w:szCs w:val="24"/>
          <w:lang w:val="en-US"/>
        </w:rPr>
        <w:t>Jankipuram</w:t>
      </w:r>
      <w:proofErr w:type="spellEnd"/>
      <w:r w:rsidRPr="00631FB5">
        <w:rPr>
          <w:rFonts w:ascii="Times New Roman" w:hAnsi="Times New Roman" w:cs="Times New Roman"/>
          <w:sz w:val="24"/>
          <w:szCs w:val="24"/>
          <w:lang w:val="en-US"/>
        </w:rPr>
        <w:t xml:space="preserve"> Extension, </w:t>
      </w:r>
      <w:proofErr w:type="spellStart"/>
      <w:r w:rsidRPr="00631FB5">
        <w:rPr>
          <w:rFonts w:ascii="Times New Roman" w:hAnsi="Times New Roman" w:cs="Times New Roman"/>
          <w:sz w:val="24"/>
          <w:szCs w:val="24"/>
          <w:lang w:val="en-US"/>
        </w:rPr>
        <w:t>Lucknow</w:t>
      </w:r>
      <w:proofErr w:type="spellEnd"/>
      <w:r w:rsidRPr="00631FB5">
        <w:rPr>
          <w:rFonts w:ascii="Times New Roman" w:hAnsi="Times New Roman" w:cs="Times New Roman"/>
          <w:sz w:val="24"/>
          <w:szCs w:val="24"/>
          <w:lang w:val="en-US"/>
        </w:rPr>
        <w:t>, India.</w:t>
      </w:r>
    </w:p>
    <w:p w:rsidR="00794C78" w:rsidRPr="00631FB5" w:rsidRDefault="00794C78" w:rsidP="00794C7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31FB5">
        <w:rPr>
          <w:rFonts w:ascii="Times New Roman" w:hAnsi="Times New Roman" w:cs="Times New Roman"/>
          <w:sz w:val="24"/>
          <w:szCs w:val="24"/>
          <w:lang w:val="en-US"/>
        </w:rPr>
        <w:t># Authors have contributed equally</w:t>
      </w:r>
    </w:p>
    <w:p w:rsidR="00794C78" w:rsidRPr="00631FB5" w:rsidRDefault="00794C78" w:rsidP="00794C7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-US" w:bidi="hi-IN"/>
        </w:rPr>
      </w:pPr>
    </w:p>
    <w:p w:rsidR="001A06EE" w:rsidRPr="00631FB5" w:rsidRDefault="001A06EE" w:rsidP="001A06E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-US" w:bidi="hi-IN"/>
        </w:rPr>
      </w:pPr>
      <w:r w:rsidRPr="00631FB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-US" w:bidi="hi-IN"/>
        </w:rPr>
        <w:t xml:space="preserve">Abstract  </w:t>
      </w:r>
    </w:p>
    <w:p w:rsidR="001A06EE" w:rsidRPr="00631FB5" w:rsidRDefault="00B97E3D" w:rsidP="00794C7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80000"/>
          <w:sz w:val="24"/>
          <w:szCs w:val="24"/>
          <w:lang w:val="en-US" w:bidi="hi-IN"/>
        </w:rPr>
      </w:pPr>
      <w:r w:rsidRPr="00631FB5">
        <w:rPr>
          <w:rFonts w:ascii="Times New Roman" w:hAnsi="Times New Roman" w:cs="Times New Roman"/>
          <w:color w:val="000000"/>
          <w:sz w:val="24"/>
          <w:szCs w:val="24"/>
          <w:lang w:val="en-US" w:bidi="hi-IN"/>
        </w:rPr>
        <w:t>Recent studies have shown that c</w:t>
      </w:r>
      <w:r w:rsidR="001A06EE" w:rsidRPr="00631FB5">
        <w:rPr>
          <w:rFonts w:ascii="Times New Roman" w:hAnsi="Times New Roman" w:cs="Times New Roman"/>
          <w:color w:val="000000"/>
          <w:sz w:val="24"/>
          <w:szCs w:val="24"/>
          <w:lang w:val="en-US" w:bidi="hi-IN"/>
        </w:rPr>
        <w:t>ombinations of anabolic and anti-</w:t>
      </w:r>
      <w:proofErr w:type="spellStart"/>
      <w:r w:rsidR="001A06EE" w:rsidRPr="00631FB5">
        <w:rPr>
          <w:rFonts w:ascii="Times New Roman" w:hAnsi="Times New Roman" w:cs="Times New Roman"/>
          <w:color w:val="000000"/>
          <w:sz w:val="24"/>
          <w:szCs w:val="24"/>
          <w:lang w:val="en-US" w:bidi="hi-IN"/>
        </w:rPr>
        <w:t>resorptive</w:t>
      </w:r>
      <w:proofErr w:type="spellEnd"/>
      <w:r w:rsidR="001A06EE" w:rsidRPr="00631FB5">
        <w:rPr>
          <w:rFonts w:ascii="Times New Roman" w:hAnsi="Times New Roman" w:cs="Times New Roman"/>
          <w:color w:val="000000"/>
          <w:sz w:val="24"/>
          <w:szCs w:val="24"/>
          <w:lang w:val="en-US" w:bidi="hi-IN"/>
        </w:rPr>
        <w:t xml:space="preserve"> agents have potential to improve bone density more than either agent alone. </w:t>
      </w:r>
      <w:r w:rsidR="001A06EE" w:rsidRPr="00631FB5">
        <w:rPr>
          <w:rFonts w:ascii="Times New Roman" w:hAnsi="Times New Roman" w:cs="Times New Roman"/>
          <w:sz w:val="24"/>
          <w:szCs w:val="24"/>
          <w:lang w:val="en-US" w:bidi="hi-IN"/>
        </w:rPr>
        <w:t xml:space="preserve"> In this study, we determine the combining effect of anti-IL17 antibody and PTH (1-34) in mitigation of ovariectomy induced bone loss. Ovariectomized BALB/c female mice were treated with</w:t>
      </w:r>
      <w:r w:rsidR="007D657E" w:rsidRPr="00631FB5">
        <w:rPr>
          <w:rFonts w:ascii="Times New Roman" w:hAnsi="Times New Roman" w:cs="Times New Roman"/>
          <w:sz w:val="24"/>
          <w:szCs w:val="24"/>
          <w:lang w:val="en-US" w:bidi="hi-IN"/>
        </w:rPr>
        <w:t xml:space="preserve"> neutralizing anti</w:t>
      </w:r>
      <w:r w:rsidR="001A06EE" w:rsidRPr="00631FB5">
        <w:rPr>
          <w:rFonts w:ascii="Times New Roman" w:hAnsi="Times New Roman" w:cs="Times New Roman"/>
          <w:sz w:val="24"/>
          <w:szCs w:val="24"/>
          <w:lang w:val="en-US" w:bidi="hi-IN"/>
        </w:rPr>
        <w:t>-I</w:t>
      </w:r>
      <w:r w:rsidR="007D657E" w:rsidRPr="00631FB5">
        <w:rPr>
          <w:rFonts w:ascii="Times New Roman" w:hAnsi="Times New Roman" w:cs="Times New Roman"/>
          <w:sz w:val="24"/>
          <w:szCs w:val="24"/>
          <w:lang w:val="en-US" w:bidi="hi-IN"/>
        </w:rPr>
        <w:t>L17 and anti-RANKL antibodies</w:t>
      </w:r>
      <w:r w:rsidR="001A06EE" w:rsidRPr="00631FB5">
        <w:rPr>
          <w:rFonts w:ascii="Times New Roman" w:hAnsi="Times New Roman" w:cs="Times New Roman"/>
          <w:sz w:val="24"/>
          <w:szCs w:val="24"/>
          <w:lang w:val="en-US" w:bidi="hi-IN"/>
        </w:rPr>
        <w:t xml:space="preserve"> and their combination with </w:t>
      </w:r>
      <w:proofErr w:type="spellStart"/>
      <w:r w:rsidR="001A06EE" w:rsidRPr="00631FB5">
        <w:rPr>
          <w:rFonts w:ascii="Times New Roman" w:hAnsi="Times New Roman" w:cs="Times New Roman"/>
          <w:sz w:val="24"/>
          <w:szCs w:val="24"/>
          <w:lang w:val="en-US" w:bidi="hi-IN"/>
        </w:rPr>
        <w:t>iPTH</w:t>
      </w:r>
      <w:proofErr w:type="spellEnd"/>
      <w:r w:rsidR="001A06EE" w:rsidRPr="00631FB5">
        <w:rPr>
          <w:rFonts w:ascii="Times New Roman" w:hAnsi="Times New Roman" w:cs="Times New Roman"/>
          <w:sz w:val="24"/>
          <w:szCs w:val="24"/>
          <w:lang w:val="en-US" w:bidi="hi-IN"/>
        </w:rPr>
        <w:t>.</w:t>
      </w:r>
      <w:r w:rsidR="007D657E" w:rsidRPr="00631FB5">
        <w:rPr>
          <w:rFonts w:ascii="Times New Roman" w:hAnsi="Times New Roman" w:cs="Times New Roman"/>
          <w:sz w:val="24"/>
          <w:szCs w:val="24"/>
        </w:rPr>
        <w:t xml:space="preserve"> After one-month time period treatment was started for 4 weeks in </w:t>
      </w:r>
      <w:proofErr w:type="spellStart"/>
      <w:r w:rsidR="007D657E" w:rsidRPr="00631FB5">
        <w:rPr>
          <w:rFonts w:ascii="Times New Roman" w:hAnsi="Times New Roman" w:cs="Times New Roman"/>
          <w:sz w:val="24"/>
          <w:szCs w:val="24"/>
        </w:rPr>
        <w:t>Ovx</w:t>
      </w:r>
      <w:proofErr w:type="spellEnd"/>
      <w:r w:rsidR="007D657E" w:rsidRPr="00631FB5">
        <w:rPr>
          <w:rFonts w:ascii="Times New Roman" w:hAnsi="Times New Roman" w:cs="Times New Roman"/>
          <w:sz w:val="24"/>
          <w:szCs w:val="24"/>
        </w:rPr>
        <w:t xml:space="preserve"> mice. Groups in experiments were sham operated (ovary intact) mice, ovariectomized (</w:t>
      </w:r>
      <w:proofErr w:type="spellStart"/>
      <w:r w:rsidR="007D657E" w:rsidRPr="00631FB5">
        <w:rPr>
          <w:rFonts w:ascii="Times New Roman" w:hAnsi="Times New Roman" w:cs="Times New Roman"/>
          <w:sz w:val="24"/>
          <w:szCs w:val="24"/>
        </w:rPr>
        <w:t>Ovx</w:t>
      </w:r>
      <w:proofErr w:type="spellEnd"/>
      <w:r w:rsidR="007D657E" w:rsidRPr="00631FB5">
        <w:rPr>
          <w:rFonts w:ascii="Times New Roman" w:hAnsi="Times New Roman" w:cs="Times New Roman"/>
          <w:sz w:val="24"/>
          <w:szCs w:val="24"/>
        </w:rPr>
        <w:t xml:space="preserve">) mice, </w:t>
      </w:r>
      <w:proofErr w:type="spellStart"/>
      <w:r w:rsidR="007D657E" w:rsidRPr="00631FB5">
        <w:rPr>
          <w:rFonts w:ascii="Times New Roman" w:hAnsi="Times New Roman" w:cs="Times New Roman"/>
          <w:sz w:val="24"/>
          <w:szCs w:val="24"/>
        </w:rPr>
        <w:t>Ovx</w:t>
      </w:r>
      <w:proofErr w:type="spellEnd"/>
      <w:r w:rsidR="007D657E" w:rsidRPr="00631FB5">
        <w:rPr>
          <w:rFonts w:ascii="Times New Roman" w:hAnsi="Times New Roman" w:cs="Times New Roman"/>
          <w:sz w:val="24"/>
          <w:szCs w:val="24"/>
        </w:rPr>
        <w:t xml:space="preserve"> mice +</w:t>
      </w:r>
      <w:proofErr w:type="spellStart"/>
      <w:r w:rsidR="007D657E" w:rsidRPr="00631FB5">
        <w:rPr>
          <w:rFonts w:ascii="Times New Roman" w:hAnsi="Times New Roman" w:cs="Times New Roman"/>
          <w:sz w:val="24"/>
          <w:szCs w:val="24"/>
        </w:rPr>
        <w:t>iPTH</w:t>
      </w:r>
      <w:proofErr w:type="spellEnd"/>
      <w:r w:rsidR="007D657E" w:rsidRPr="00631FB5">
        <w:rPr>
          <w:rFonts w:ascii="Times New Roman" w:hAnsi="Times New Roman" w:cs="Times New Roman"/>
          <w:sz w:val="24"/>
          <w:szCs w:val="24"/>
        </w:rPr>
        <w:t xml:space="preserve"> (40 µg/kg/day)</w:t>
      </w:r>
      <w:r w:rsidR="007D657E" w:rsidRPr="00631FB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PEVuZE5vdGU+PENpdGU+PEF1dGhvcj5QZXR0d2F5PC9BdXRob3I+PFllYXI+MjAwODwvWWVhcj48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</w:fldData>
        </w:fldChar>
      </w:r>
      <w:r w:rsidR="007D657E" w:rsidRPr="00631FB5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7D657E" w:rsidRPr="00631FB5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PEVuZE5vdGU+PENpdGU+PEF1dGhvcj5QZXR0d2F5PC9BdXRob3I+PFllYXI+MjAwODwvWWVhcj48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</w:fldData>
        </w:fldChar>
      </w:r>
      <w:r w:rsidR="007D657E" w:rsidRPr="00631FB5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7D657E" w:rsidRPr="00631FB5">
        <w:rPr>
          <w:rFonts w:ascii="Times New Roman" w:hAnsi="Times New Roman" w:cs="Times New Roman"/>
          <w:sz w:val="24"/>
          <w:szCs w:val="24"/>
        </w:rPr>
      </w:r>
      <w:r w:rsidR="007D657E" w:rsidRPr="00631FB5">
        <w:rPr>
          <w:rFonts w:ascii="Times New Roman" w:hAnsi="Times New Roman" w:cs="Times New Roman"/>
          <w:sz w:val="24"/>
          <w:szCs w:val="24"/>
        </w:rPr>
        <w:fldChar w:fldCharType="end"/>
      </w:r>
      <w:r w:rsidR="007D657E" w:rsidRPr="00631FB5">
        <w:rPr>
          <w:rFonts w:ascii="Times New Roman" w:hAnsi="Times New Roman" w:cs="Times New Roman"/>
          <w:sz w:val="24"/>
          <w:szCs w:val="24"/>
        </w:rPr>
        <w:fldChar w:fldCharType="separate"/>
      </w:r>
      <w:r w:rsidR="007D657E" w:rsidRPr="00631FB5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1" w:tooltip="Pettway, 2008 #12" w:history="1">
        <w:r w:rsidR="007D657E" w:rsidRPr="00631FB5">
          <w:rPr>
            <w:rFonts w:ascii="Times New Roman" w:hAnsi="Times New Roman" w:cs="Times New Roman"/>
            <w:noProof/>
            <w:sz w:val="24"/>
            <w:szCs w:val="24"/>
          </w:rPr>
          <w:t>1</w:t>
        </w:r>
      </w:hyperlink>
      <w:r w:rsidR="007D657E" w:rsidRPr="00631FB5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hyperlink w:anchor="_ENREF_2" w:tooltip="Bellido, 2013 #11" w:history="1">
        <w:r w:rsidR="007D657E" w:rsidRPr="00631FB5">
          <w:rPr>
            <w:rFonts w:ascii="Times New Roman" w:hAnsi="Times New Roman" w:cs="Times New Roman"/>
            <w:noProof/>
            <w:sz w:val="24"/>
            <w:szCs w:val="24"/>
          </w:rPr>
          <w:t>2</w:t>
        </w:r>
      </w:hyperlink>
      <w:r w:rsidR="007D657E" w:rsidRPr="00631FB5">
        <w:rPr>
          <w:rFonts w:ascii="Times New Roman" w:hAnsi="Times New Roman" w:cs="Times New Roman"/>
          <w:noProof/>
          <w:sz w:val="24"/>
          <w:szCs w:val="24"/>
        </w:rPr>
        <w:t>]</w:t>
      </w:r>
      <w:r w:rsidR="007D657E" w:rsidRPr="00631FB5">
        <w:rPr>
          <w:rFonts w:ascii="Times New Roman" w:hAnsi="Times New Roman" w:cs="Times New Roman"/>
          <w:sz w:val="24"/>
          <w:szCs w:val="24"/>
        </w:rPr>
        <w:fldChar w:fldCharType="end"/>
      </w:r>
      <w:r w:rsidR="007D657E" w:rsidRPr="00631FB5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="007D657E" w:rsidRPr="00631FB5">
        <w:rPr>
          <w:rFonts w:ascii="Times New Roman" w:hAnsi="Times New Roman" w:cs="Times New Roman"/>
          <w:sz w:val="24"/>
          <w:szCs w:val="24"/>
        </w:rPr>
        <w:t>Ovx</w:t>
      </w:r>
      <w:proofErr w:type="spellEnd"/>
      <w:r w:rsidR="007D657E" w:rsidRPr="00631FB5">
        <w:rPr>
          <w:rFonts w:ascii="Times New Roman" w:hAnsi="Times New Roman" w:cs="Times New Roman"/>
          <w:sz w:val="24"/>
          <w:szCs w:val="24"/>
        </w:rPr>
        <w:t xml:space="preserve">+ anti-RANKL (300µg/mice) twice a week </w:t>
      </w:r>
      <w:r w:rsidR="007D657E" w:rsidRPr="00631FB5">
        <w:rPr>
          <w:rFonts w:ascii="Times New Roman" w:hAnsi="Times New Roman" w:cs="Times New Roman"/>
          <w:sz w:val="24"/>
          <w:szCs w:val="24"/>
        </w:rPr>
        <w:fldChar w:fldCharType="begin"/>
      </w:r>
      <w:r w:rsidR="007D657E" w:rsidRPr="00631FB5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&lt;EndNote&gt;&lt;Cite&gt;&lt;Author&gt;Tokuyama&lt;/Author&gt;&lt;Year&gt;2015&lt;/Year&gt;&lt;RecNum&gt;13&lt;/RecNum&gt;&lt;DisplayText&gt;[3]&lt;/DisplayText&gt;&lt;record&gt;&lt;rec-number&gt;13&lt;/rec-number&gt;&lt;foreign-keys&gt;&lt;key app="EN" db-id="20rxd252sedsx6e0ds9vtrw12d2vwwxpxw9v"&gt;13&lt;/key&gt;&lt;/foreign-keys&gt;&lt;ref-type name="Journal Article"&gt;17&lt;/ref-type&gt;&lt;contributors&gt;&lt;authors&gt;&lt;author&gt;Tokuyama, N.&lt;/author&gt;&lt;author&gt;Hirose, J.&lt;/author&gt;&lt;author&gt;Omata, Y.&lt;/author&gt;&lt;author&gt;Yasui, T.&lt;/author&gt;&lt;author&gt;Izawa, N.&lt;/author&gt;&lt;author&gt;Matsumoto, T.&lt;/author&gt;&lt;author&gt;Masuda, H.&lt;/author&gt;&lt;author&gt;Ohmiya, T.&lt;/author&gt;&lt;author&gt;Yasuda, H.&lt;/author&gt;&lt;author&gt;Saito, T.&lt;/author&gt;&lt;author&gt;Kadono, Y.&lt;/author&gt;&lt;author&gt;Tanaka, S.&lt;/author&gt;&lt;/authors&gt;&lt;/contributors&gt;&lt;auth-address&gt;Department of Orthopaedic Surgery, Faculty of Medicine, The University of Tokyo, Hongo 7-3-1, Bunkyo-ku, Tokyo 113-8655,Japan.&amp;#xD;Bioindustry Division, Oriental Yeast Co., Ltd., Azusawa 3-6-10, Itabashi-ku, Tokyo 174-8505, Japan.&lt;/auth-address&gt;&lt;titles&gt;&lt;title&gt;Individual and combining effects of anti-RANKL monoclonal antibody and teriparatide in ovariectomized mice&lt;/title&gt;&lt;secondary-title&gt;Bone Rep&lt;/secondary-title&gt;&lt;alt-title&gt;Bone reports&lt;/alt-title&gt;&lt;/titles&gt;&lt;pages&gt;1-7&lt;/pages&gt;&lt;volume&gt;2&lt;/volume&gt;&lt;dates&gt;&lt;year&gt;2015&lt;/year&gt;&lt;pub-dates&gt;&lt;date&gt;Jun&lt;/date&gt;&lt;/pub-dates&gt;&lt;/dates&gt;&lt;isbn&gt;2352-1872 (Linking)&lt;/isbn&gt;&lt;accession-num&gt;28377948&lt;/accession-num&gt;&lt;urls&gt;&lt;related-urls&gt;&lt;url&gt;http://www.ncbi.nlm.nih.gov/pubmed/28377948&lt;/url&gt;&lt;/related-urls&gt;&lt;/urls&gt;&lt;custom2&gt;5365172&lt;/custom2&gt;&lt;electronic-resource-num&gt;10.1016/j.bonr.2014.12.002&lt;/electronic-resource-num&gt;&lt;/record&gt;&lt;/Cite&gt;&lt;/EndNote&gt;</w:instrText>
      </w:r>
      <w:r w:rsidR="007D657E" w:rsidRPr="00631FB5">
        <w:rPr>
          <w:rFonts w:ascii="Times New Roman" w:hAnsi="Times New Roman" w:cs="Times New Roman"/>
          <w:sz w:val="24"/>
          <w:szCs w:val="24"/>
        </w:rPr>
        <w:fldChar w:fldCharType="separate"/>
      </w:r>
      <w:r w:rsidR="007D657E" w:rsidRPr="00631FB5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3" w:tooltip="Tokuyama, 2015 #13" w:history="1">
        <w:r w:rsidR="007D657E" w:rsidRPr="00631FB5">
          <w:rPr>
            <w:rFonts w:ascii="Times New Roman" w:hAnsi="Times New Roman" w:cs="Times New Roman"/>
            <w:noProof/>
            <w:sz w:val="24"/>
            <w:szCs w:val="24"/>
          </w:rPr>
          <w:t>3</w:t>
        </w:r>
      </w:hyperlink>
      <w:r w:rsidR="007D657E" w:rsidRPr="00631FB5">
        <w:rPr>
          <w:rFonts w:ascii="Times New Roman" w:hAnsi="Times New Roman" w:cs="Times New Roman"/>
          <w:noProof/>
          <w:sz w:val="24"/>
          <w:szCs w:val="24"/>
        </w:rPr>
        <w:t>]</w:t>
      </w:r>
      <w:r w:rsidR="007D657E" w:rsidRPr="00631FB5">
        <w:rPr>
          <w:rFonts w:ascii="Times New Roman" w:hAnsi="Times New Roman" w:cs="Times New Roman"/>
          <w:sz w:val="24"/>
          <w:szCs w:val="24"/>
        </w:rPr>
        <w:fldChar w:fldCharType="end"/>
      </w:r>
      <w:r w:rsidR="007D657E" w:rsidRPr="00631FB5">
        <w:rPr>
          <w:rFonts w:ascii="Times New Roman" w:hAnsi="Times New Roman" w:cs="Times New Roman"/>
          <w:sz w:val="24"/>
          <w:szCs w:val="24"/>
        </w:rPr>
        <w:t xml:space="preserve"> , Ovx+anti-17A (100ng/mice) twice a </w:t>
      </w:r>
      <w:r w:rsidR="007D657E" w:rsidRPr="00631FB5">
        <w:rPr>
          <w:rFonts w:ascii="Times New Roman" w:hAnsi="Times New Roman" w:cs="Times New Roman"/>
          <w:sz w:val="24"/>
          <w:szCs w:val="24"/>
        </w:rPr>
        <w:lastRenderedPageBreak/>
        <w:t xml:space="preserve">week , </w:t>
      </w:r>
      <w:proofErr w:type="spellStart"/>
      <w:r w:rsidR="007D657E" w:rsidRPr="00631FB5">
        <w:rPr>
          <w:rFonts w:ascii="Times New Roman" w:hAnsi="Times New Roman" w:cs="Times New Roman"/>
          <w:sz w:val="24"/>
          <w:szCs w:val="24"/>
        </w:rPr>
        <w:t>Ovx</w:t>
      </w:r>
      <w:proofErr w:type="spellEnd"/>
      <w:r w:rsidR="007D657E" w:rsidRPr="00631FB5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7D657E" w:rsidRPr="00631FB5">
        <w:rPr>
          <w:rFonts w:ascii="Times New Roman" w:hAnsi="Times New Roman" w:cs="Times New Roman"/>
          <w:sz w:val="24"/>
          <w:szCs w:val="24"/>
        </w:rPr>
        <w:t>iPTH</w:t>
      </w:r>
      <w:proofErr w:type="spellEnd"/>
      <w:r w:rsidR="007D657E" w:rsidRPr="00631FB5">
        <w:rPr>
          <w:rFonts w:ascii="Times New Roman" w:hAnsi="Times New Roman" w:cs="Times New Roman"/>
          <w:sz w:val="24"/>
          <w:szCs w:val="24"/>
        </w:rPr>
        <w:t xml:space="preserve"> (40µg/kg/day) + anti-RANKL (300µg/mice) twice a week, </w:t>
      </w:r>
      <w:proofErr w:type="spellStart"/>
      <w:r w:rsidR="007D657E" w:rsidRPr="00631FB5">
        <w:rPr>
          <w:rFonts w:ascii="Times New Roman" w:hAnsi="Times New Roman" w:cs="Times New Roman"/>
          <w:sz w:val="24"/>
          <w:szCs w:val="24"/>
        </w:rPr>
        <w:t>Ovx</w:t>
      </w:r>
      <w:proofErr w:type="spellEnd"/>
      <w:r w:rsidR="007D657E" w:rsidRPr="00631FB5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="007D657E" w:rsidRPr="00631FB5">
        <w:rPr>
          <w:rFonts w:ascii="Times New Roman" w:hAnsi="Times New Roman" w:cs="Times New Roman"/>
          <w:sz w:val="24"/>
          <w:szCs w:val="24"/>
        </w:rPr>
        <w:t>iPTH</w:t>
      </w:r>
      <w:proofErr w:type="spellEnd"/>
      <w:r w:rsidR="007D657E" w:rsidRPr="00631FB5">
        <w:rPr>
          <w:rFonts w:ascii="Times New Roman" w:hAnsi="Times New Roman" w:cs="Times New Roman"/>
          <w:sz w:val="24"/>
          <w:szCs w:val="24"/>
        </w:rPr>
        <w:t xml:space="preserve"> (40µg/kg/day) + anti-IL-17A (100ng/mice) twice a week IN </w:t>
      </w:r>
      <w:proofErr w:type="spellStart"/>
      <w:r w:rsidR="007D657E" w:rsidRPr="00631FB5">
        <w:rPr>
          <w:rFonts w:ascii="Times New Roman" w:hAnsi="Times New Roman" w:cs="Times New Roman"/>
          <w:sz w:val="24"/>
          <w:szCs w:val="24"/>
        </w:rPr>
        <w:t>Ovx</w:t>
      </w:r>
      <w:proofErr w:type="spellEnd"/>
      <w:r w:rsidR="007D657E" w:rsidRPr="00631FB5">
        <w:rPr>
          <w:rFonts w:ascii="Times New Roman" w:hAnsi="Times New Roman" w:cs="Times New Roman"/>
          <w:sz w:val="24"/>
          <w:szCs w:val="24"/>
        </w:rPr>
        <w:t xml:space="preserve"> mice.</w:t>
      </w:r>
      <w:r w:rsidR="001A06EE" w:rsidRPr="00631FB5">
        <w:rPr>
          <w:rFonts w:ascii="Times New Roman" w:hAnsi="Times New Roman" w:cs="Times New Roman"/>
          <w:sz w:val="24"/>
          <w:szCs w:val="24"/>
          <w:lang w:val="en-US" w:bidi="hi-IN"/>
        </w:rPr>
        <w:t xml:space="preserve"> Combination of </w:t>
      </w:r>
      <w:proofErr w:type="spellStart"/>
      <w:r w:rsidR="001A06EE" w:rsidRPr="00631FB5">
        <w:rPr>
          <w:rFonts w:ascii="Times New Roman" w:hAnsi="Times New Roman" w:cs="Times New Roman"/>
          <w:sz w:val="24"/>
          <w:szCs w:val="24"/>
          <w:lang w:val="en-US" w:bidi="hi-IN"/>
        </w:rPr>
        <w:t>iPTH</w:t>
      </w:r>
      <w:proofErr w:type="spellEnd"/>
      <w:r w:rsidR="001A06EE" w:rsidRPr="00631FB5">
        <w:rPr>
          <w:rFonts w:ascii="Times New Roman" w:hAnsi="Times New Roman" w:cs="Times New Roman"/>
          <w:sz w:val="24"/>
          <w:szCs w:val="24"/>
          <w:lang w:val="en-US" w:bidi="hi-IN"/>
        </w:rPr>
        <w:t xml:space="preserve"> and anti-IL17 </w:t>
      </w:r>
      <w:r w:rsidR="001A06EE" w:rsidRPr="00631FB5">
        <w:rPr>
          <w:rFonts w:ascii="Times New Roman" w:hAnsi="Times New Roman" w:cs="Times New Roman"/>
          <w:color w:val="000000"/>
          <w:sz w:val="24"/>
          <w:szCs w:val="24"/>
          <w:lang w:val="en-US" w:bidi="hi-IN"/>
        </w:rPr>
        <w:t>has synergistic</w:t>
      </w:r>
      <w:r w:rsidR="001A06EE" w:rsidRPr="00631FB5">
        <w:rPr>
          <w:rFonts w:ascii="Times New Roman" w:hAnsi="Times New Roman" w:cs="Times New Roman"/>
          <w:sz w:val="24"/>
          <w:szCs w:val="24"/>
          <w:lang w:val="en-US" w:bidi="hi-IN"/>
        </w:rPr>
        <w:t xml:space="preserve"> effect in the restoration of skeletal and immune parameters compared to mono-therapies. Immunofluorescence analysis shows decreased expression of PTHR1 in </w:t>
      </w:r>
      <w:proofErr w:type="spellStart"/>
      <w:r w:rsidR="001A06EE" w:rsidRPr="00631FB5">
        <w:rPr>
          <w:rFonts w:ascii="Times New Roman" w:hAnsi="Times New Roman" w:cs="Times New Roman"/>
          <w:sz w:val="24"/>
          <w:szCs w:val="24"/>
          <w:lang w:val="en-US" w:bidi="hi-IN"/>
        </w:rPr>
        <w:t>iPTH</w:t>
      </w:r>
      <w:proofErr w:type="spellEnd"/>
      <w:r w:rsidR="001A06EE" w:rsidRPr="00631FB5">
        <w:rPr>
          <w:rFonts w:ascii="Times New Roman" w:hAnsi="Times New Roman" w:cs="Times New Roman"/>
          <w:sz w:val="24"/>
          <w:szCs w:val="24"/>
          <w:lang w:val="en-US" w:bidi="hi-IN"/>
        </w:rPr>
        <w:t xml:space="preserve"> + anti-IL17 treated bone sections. Our studies show that IL-17 up regulates N-</w:t>
      </w:r>
      <w:proofErr w:type="spellStart"/>
      <w:r w:rsidR="001A06EE" w:rsidRPr="00631FB5">
        <w:rPr>
          <w:rFonts w:ascii="Times New Roman" w:hAnsi="Times New Roman" w:cs="Times New Roman"/>
          <w:sz w:val="24"/>
          <w:szCs w:val="24"/>
          <w:lang w:val="en-US" w:bidi="hi-IN"/>
        </w:rPr>
        <w:t>cadherin</w:t>
      </w:r>
      <w:proofErr w:type="spellEnd"/>
      <w:r w:rsidR="001A06EE" w:rsidRPr="00631FB5">
        <w:rPr>
          <w:rFonts w:ascii="Times New Roman" w:hAnsi="Times New Roman" w:cs="Times New Roman"/>
          <w:sz w:val="24"/>
          <w:szCs w:val="24"/>
          <w:lang w:val="en-US" w:bidi="hi-IN"/>
        </w:rPr>
        <w:t xml:space="preserve"> which disrupts PTHR1/LRP-6 interaction thereby inhibiting </w:t>
      </w:r>
      <w:proofErr w:type="spellStart"/>
      <w:r w:rsidR="001A06EE" w:rsidRPr="00631FB5">
        <w:rPr>
          <w:rFonts w:ascii="Times New Roman" w:hAnsi="Times New Roman" w:cs="Times New Roman"/>
          <w:sz w:val="24"/>
          <w:szCs w:val="24"/>
          <w:lang w:val="en-US" w:bidi="hi-IN"/>
        </w:rPr>
        <w:t>wnt</w:t>
      </w:r>
      <w:proofErr w:type="spellEnd"/>
      <w:r w:rsidR="001A06EE" w:rsidRPr="00631FB5">
        <w:rPr>
          <w:rFonts w:ascii="Times New Roman" w:hAnsi="Times New Roman" w:cs="Times New Roman"/>
          <w:sz w:val="24"/>
          <w:szCs w:val="24"/>
          <w:lang w:val="en-US" w:bidi="hi-IN"/>
        </w:rPr>
        <w:t xml:space="preserve"> signaling and promoting bone loss. </w:t>
      </w:r>
      <w:r w:rsidR="00911D26" w:rsidRPr="00631FB5">
        <w:rPr>
          <w:rFonts w:ascii="Times New Roman" w:hAnsi="Times New Roman" w:cs="Times New Roman"/>
          <w:color w:val="080000"/>
          <w:sz w:val="24"/>
          <w:szCs w:val="24"/>
          <w:lang w:val="en-US" w:bidi="hi-IN"/>
        </w:rPr>
        <w:t>Our study</w:t>
      </w:r>
      <w:r w:rsidR="007D657E" w:rsidRPr="00631FB5">
        <w:rPr>
          <w:rFonts w:ascii="Times New Roman" w:hAnsi="Times New Roman" w:cs="Times New Roman"/>
          <w:color w:val="080000"/>
          <w:sz w:val="24"/>
          <w:szCs w:val="24"/>
          <w:lang w:val="en-US" w:bidi="hi-IN"/>
        </w:rPr>
        <w:t xml:space="preserve"> </w:t>
      </w:r>
      <w:r w:rsidR="001E1DA1" w:rsidRPr="00631FB5">
        <w:rPr>
          <w:rFonts w:ascii="Times New Roman" w:hAnsi="Times New Roman" w:cs="Times New Roman"/>
          <w:color w:val="080000"/>
          <w:sz w:val="24"/>
          <w:szCs w:val="24"/>
          <w:lang w:val="en-US" w:bidi="hi-IN"/>
        </w:rPr>
        <w:t>recommends</w:t>
      </w:r>
      <w:r w:rsidR="007D657E" w:rsidRPr="00631FB5">
        <w:rPr>
          <w:rFonts w:ascii="Times New Roman" w:hAnsi="Times New Roman" w:cs="Times New Roman"/>
          <w:color w:val="080000"/>
          <w:sz w:val="24"/>
          <w:szCs w:val="24"/>
          <w:lang w:val="en-US" w:bidi="hi-IN"/>
        </w:rPr>
        <w:t xml:space="preserve"> the </w:t>
      </w:r>
      <w:r w:rsidR="001A06EE" w:rsidRPr="00631FB5">
        <w:rPr>
          <w:rFonts w:ascii="Times New Roman" w:hAnsi="Times New Roman" w:cs="Times New Roman"/>
          <w:color w:val="080000"/>
          <w:sz w:val="24"/>
          <w:szCs w:val="24"/>
          <w:lang w:val="en-US" w:bidi="hi-IN"/>
        </w:rPr>
        <w:t xml:space="preserve">use of </w:t>
      </w:r>
      <w:proofErr w:type="spellStart"/>
      <w:r w:rsidR="001A06EE" w:rsidRPr="00631FB5">
        <w:rPr>
          <w:rFonts w:ascii="Times New Roman" w:hAnsi="Times New Roman" w:cs="Times New Roman"/>
          <w:color w:val="080000"/>
          <w:sz w:val="24"/>
          <w:szCs w:val="24"/>
          <w:lang w:val="en-US" w:bidi="hi-IN"/>
        </w:rPr>
        <w:t>iPTH</w:t>
      </w:r>
      <w:proofErr w:type="spellEnd"/>
      <w:r w:rsidR="001A06EE" w:rsidRPr="00631FB5">
        <w:rPr>
          <w:rFonts w:ascii="Times New Roman" w:hAnsi="Times New Roman" w:cs="Times New Roman"/>
          <w:color w:val="080000"/>
          <w:sz w:val="24"/>
          <w:szCs w:val="24"/>
          <w:lang w:val="en-US" w:bidi="hi-IN"/>
        </w:rPr>
        <w:t xml:space="preserve"> and anti-IL17 combination therapy for post-menopausal osteoporosis.</w:t>
      </w:r>
      <w:bookmarkStart w:id="0" w:name="_GoBack"/>
      <w:bookmarkEnd w:id="0"/>
    </w:p>
    <w:p w:rsidR="007D657E" w:rsidRPr="00631FB5" w:rsidRDefault="007D657E" w:rsidP="00794C7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80000"/>
          <w:sz w:val="24"/>
          <w:szCs w:val="24"/>
          <w:lang w:val="en-US" w:bidi="hi-IN"/>
        </w:rPr>
      </w:pPr>
    </w:p>
    <w:p w:rsidR="007D657E" w:rsidRPr="00631FB5" w:rsidRDefault="00631FB5" w:rsidP="00794C7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80000"/>
          <w:sz w:val="24"/>
          <w:szCs w:val="24"/>
          <w:lang w:val="en-US" w:bidi="hi-IN"/>
        </w:rPr>
      </w:pPr>
      <w:proofErr w:type="spellStart"/>
      <w:r w:rsidRPr="00631FB5">
        <w:rPr>
          <w:rFonts w:ascii="Times New Roman" w:hAnsi="Times New Roman" w:cs="Times New Roman"/>
          <w:color w:val="080000"/>
          <w:sz w:val="24"/>
          <w:szCs w:val="24"/>
          <w:lang w:val="en-US" w:bidi="hi-IN"/>
        </w:rPr>
        <w:t>Refrences</w:t>
      </w:r>
      <w:proofErr w:type="spellEnd"/>
      <w:r w:rsidRPr="00631FB5">
        <w:rPr>
          <w:rFonts w:ascii="Times New Roman" w:hAnsi="Times New Roman" w:cs="Times New Roman"/>
          <w:color w:val="080000"/>
          <w:sz w:val="24"/>
          <w:szCs w:val="24"/>
          <w:lang w:val="en-US" w:bidi="hi-IN"/>
        </w:rPr>
        <w:t>:</w:t>
      </w:r>
    </w:p>
    <w:p w:rsidR="007D657E" w:rsidRPr="00631FB5" w:rsidRDefault="007D657E" w:rsidP="007D657E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bookmarkStart w:id="1" w:name="_ENREF_1"/>
      <w:r w:rsidRPr="00631FB5">
        <w:rPr>
          <w:rFonts w:ascii="Times New Roman" w:hAnsi="Times New Roman" w:cs="Times New Roman"/>
          <w:noProof/>
        </w:rPr>
        <w:t>[1] G.J. Pettway, J.A. Meganck, A.J. Koh, E.T. Keller, S.A. Goldstein, L.K. McCauley, Parathyroid hormone mediates bone growth through the regulation of osteoblast proliferation and differentiation, Bone 42(4) (2008) 806-18.</w:t>
      </w:r>
      <w:bookmarkEnd w:id="1"/>
    </w:p>
    <w:p w:rsidR="007D657E" w:rsidRPr="00631FB5" w:rsidRDefault="007D657E" w:rsidP="007D657E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bookmarkStart w:id="2" w:name="_ENREF_2"/>
      <w:r w:rsidRPr="00631FB5">
        <w:rPr>
          <w:rFonts w:ascii="Times New Roman" w:hAnsi="Times New Roman" w:cs="Times New Roman"/>
          <w:noProof/>
        </w:rPr>
        <w:t>[2] T. Bellido, V. Saini, P.D. Pajevic, Effects of PTH on osteocyte function, Bone 54(2) (2013) 250-7.</w:t>
      </w:r>
      <w:bookmarkEnd w:id="2"/>
    </w:p>
    <w:p w:rsidR="007D657E" w:rsidRPr="00631FB5" w:rsidRDefault="007D657E" w:rsidP="001E1DA1">
      <w:pPr>
        <w:spacing w:line="240" w:lineRule="auto"/>
        <w:jc w:val="both"/>
        <w:rPr>
          <w:rFonts w:ascii="Times New Roman" w:hAnsi="Times New Roman" w:cs="Times New Roman"/>
          <w:noProof/>
        </w:rPr>
      </w:pPr>
      <w:bookmarkStart w:id="3" w:name="_ENREF_3"/>
      <w:r w:rsidRPr="00631FB5">
        <w:rPr>
          <w:rFonts w:ascii="Times New Roman" w:hAnsi="Times New Roman" w:cs="Times New Roman"/>
          <w:noProof/>
        </w:rPr>
        <w:t>[3] N. Tokuyama, J. Hirose, Y. Omata, T. Yasui, N. Izawa, T. Matsumoto, H. Masuda, T. Ohmiya, H. Yasuda, T. Saito, Y. Kadono, S. Tanaka, Individual and combining effects of anti-RANKL monoclonal antibody and teriparatide in ovariectomized mice, Bone Rep 2 (2015) 1-7</w:t>
      </w:r>
      <w:bookmarkEnd w:id="3"/>
      <w:r w:rsidR="001E1DA1" w:rsidRPr="00631FB5">
        <w:rPr>
          <w:rFonts w:ascii="Times New Roman" w:hAnsi="Times New Roman" w:cs="Times New Roman"/>
          <w:noProof/>
        </w:rPr>
        <w:t>.</w:t>
      </w:r>
    </w:p>
    <w:p w:rsidR="001E1DA1" w:rsidRPr="00631FB5" w:rsidRDefault="001E1DA1" w:rsidP="001E1DA1">
      <w:pPr>
        <w:spacing w:line="240" w:lineRule="auto"/>
        <w:jc w:val="both"/>
        <w:rPr>
          <w:rFonts w:ascii="Times New Roman" w:hAnsi="Times New Roman" w:cs="Times New Roman"/>
          <w:noProof/>
        </w:rPr>
      </w:pPr>
    </w:p>
    <w:p w:rsidR="001E1DA1" w:rsidRPr="00631FB5" w:rsidRDefault="001E1DA1" w:rsidP="001E1DA1">
      <w:pPr>
        <w:spacing w:line="240" w:lineRule="auto"/>
        <w:jc w:val="both"/>
        <w:rPr>
          <w:rFonts w:ascii="Times New Roman" w:hAnsi="Times New Roman" w:cs="Times New Roman"/>
          <w:noProof/>
        </w:rPr>
      </w:pPr>
    </w:p>
    <w:p w:rsidR="001E1DA1" w:rsidRPr="00631FB5" w:rsidRDefault="001E1DA1" w:rsidP="001E1DA1">
      <w:pPr>
        <w:spacing w:line="240" w:lineRule="auto"/>
        <w:jc w:val="both"/>
        <w:rPr>
          <w:rFonts w:ascii="Times New Roman" w:hAnsi="Times New Roman" w:cs="Times New Roman"/>
          <w:noProof/>
        </w:rPr>
      </w:pPr>
    </w:p>
    <w:p w:rsidR="001E1DA1" w:rsidRPr="00631FB5" w:rsidRDefault="001E1DA1" w:rsidP="001E1DA1">
      <w:pPr>
        <w:spacing w:line="240" w:lineRule="auto"/>
        <w:jc w:val="both"/>
        <w:rPr>
          <w:rFonts w:ascii="Times New Roman" w:hAnsi="Times New Roman" w:cs="Times New Roman"/>
          <w:b/>
          <w:bCs/>
          <w:noProof/>
        </w:rPr>
      </w:pPr>
      <w:r w:rsidRPr="00631FB5">
        <w:rPr>
          <w:rFonts w:ascii="Times New Roman" w:hAnsi="Times New Roman" w:cs="Times New Roman"/>
          <w:b/>
          <w:bCs/>
          <w:noProof/>
        </w:rPr>
        <w:t>Biography:</w:t>
      </w:r>
    </w:p>
    <w:p w:rsidR="001E1DA1" w:rsidRPr="00631FB5" w:rsidRDefault="001E1DA1" w:rsidP="001E1DA1">
      <w:pPr>
        <w:pStyle w:val="Title"/>
        <w:spacing w:after="0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 w:rsidRPr="00631FB5">
        <w:rPr>
          <w:rFonts w:ascii="Times New Roman" w:hAnsi="Times New Roman"/>
          <w:color w:val="000000"/>
          <w:sz w:val="24"/>
          <w:szCs w:val="24"/>
          <w:lang w:val="pt-BR"/>
        </w:rPr>
        <w:t>Currently I am  studying the interaction of Immune system with Skeletal system which has led to  generation of new area of research  called osteoimmunology.I was intrested how Treg,TH-17 and other immune cells regulate  bone homeostasis in post menopausal women.After menopause inflammation cause alteration in TH-17A /Treg cells which causes overactive osteoclast leading to bone loss in post menopausal women.I have submitted my Ph.D at Central Drug Research Institute-INDIA.</w:t>
      </w:r>
    </w:p>
    <w:p w:rsidR="001E1DA1" w:rsidRPr="00631FB5" w:rsidRDefault="001E1DA1" w:rsidP="001E1DA1">
      <w:pPr>
        <w:pStyle w:val="Title"/>
        <w:spacing w:after="0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</w:p>
    <w:p w:rsidR="001E1DA1" w:rsidRPr="00631FB5" w:rsidRDefault="001E1DA1" w:rsidP="001E1DA1">
      <w:pPr>
        <w:pStyle w:val="Title"/>
        <w:spacing w:after="0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</w:p>
    <w:p w:rsidR="00631FB5" w:rsidRPr="00631FB5" w:rsidRDefault="001E1DA1" w:rsidP="001E1DA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1E1DA1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1E1DA1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1E1DA1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r w:rsidRPr="00631FB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 w:rsidRPr="00631FB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Mohd</w:t>
      </w:r>
      <w:proofErr w:type="spellEnd"/>
      <w:r w:rsidRPr="00631FB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 w:rsidRPr="00631FB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Nizam</w:t>
      </w:r>
      <w:proofErr w:type="spellEnd"/>
      <w:r w:rsidRPr="00631FB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 w:rsidRPr="00631FB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Mansoori</w:t>
      </w:r>
      <w:proofErr w:type="spellEnd"/>
      <w:r w:rsidRPr="001E1DA1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</w:t>
      </w:r>
      <w:r w:rsidR="00631FB5" w:rsidRPr="00631FB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09634849005</w:t>
      </w:r>
    </w:p>
    <w:p w:rsidR="001E1DA1" w:rsidRPr="00631FB5" w:rsidRDefault="00631FB5" w:rsidP="00631F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631FB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Email id: nizamali786@gmail.com</w:t>
      </w:r>
      <w:r w:rsidR="001E1DA1" w:rsidRPr="001E1DA1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  <w:r w:rsidR="001E1DA1" w:rsidRPr="00631FB5">
        <w:rPr>
          <w:rFonts w:ascii="Times New Roman" w:hAnsi="Times New Roman" w:cs="Times New Roman"/>
          <w:sz w:val="24"/>
          <w:szCs w:val="24"/>
          <w:lang w:val="en-NZ" w:eastAsia="it-IT"/>
        </w:rPr>
        <w:t>Category: (Oral presentation)</w:t>
      </w:r>
    </w:p>
    <w:p w:rsidR="001E1DA1" w:rsidRPr="00631FB5" w:rsidRDefault="001E1DA1" w:rsidP="001E1DA1">
      <w:pPr>
        <w:spacing w:line="240" w:lineRule="auto"/>
        <w:jc w:val="both"/>
        <w:rPr>
          <w:rFonts w:ascii="Times New Roman" w:hAnsi="Times New Roman" w:cs="Times New Roman"/>
          <w:noProof/>
        </w:rPr>
        <w:sectPr w:rsidR="001E1DA1" w:rsidRPr="00631FB5" w:rsidSect="00894CEC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851" w:right="1440" w:bottom="1440" w:left="1440" w:header="426" w:footer="708" w:gutter="0"/>
          <w:cols w:space="708"/>
          <w:docGrid w:linePitch="360"/>
        </w:sectPr>
      </w:pPr>
    </w:p>
    <w:p w:rsidR="001E1DA1" w:rsidRPr="00631FB5" w:rsidRDefault="001E1DA1" w:rsidP="001A06E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sectPr w:rsidR="001E1DA1" w:rsidRPr="00631FB5" w:rsidSect="00CB10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61" w:rsidRDefault="00631FB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61" w:rsidRDefault="00631FB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7E3F61" w:rsidRDefault="00631FB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61" w:rsidRDefault="00631FB5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61" w:rsidRDefault="00631FB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61" w:rsidRDefault="00631FB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61" w:rsidRDefault="00631FB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one 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svdv2wpddtfwrlexdw7pzrpdzv0varx9dx9s&quot;&gt;INSPI PROP&lt;record-ids&gt;&lt;item&gt;11&lt;/item&gt;&lt;item&gt;12&lt;/item&gt;&lt;/record-ids&gt;&lt;/item&gt;&lt;/Libraries&gt;"/>
  </w:docVars>
  <w:rsids>
    <w:rsidRoot w:val="00794C78"/>
    <w:rsid w:val="0004185A"/>
    <w:rsid w:val="000D27E0"/>
    <w:rsid w:val="001A06EE"/>
    <w:rsid w:val="001D14DC"/>
    <w:rsid w:val="001E1DA1"/>
    <w:rsid w:val="001E4700"/>
    <w:rsid w:val="00217980"/>
    <w:rsid w:val="00224846"/>
    <w:rsid w:val="00233E62"/>
    <w:rsid w:val="0026594A"/>
    <w:rsid w:val="00266CD8"/>
    <w:rsid w:val="00284784"/>
    <w:rsid w:val="0030314A"/>
    <w:rsid w:val="00395C0B"/>
    <w:rsid w:val="003A332D"/>
    <w:rsid w:val="003B6AD2"/>
    <w:rsid w:val="003E4CF3"/>
    <w:rsid w:val="00414D41"/>
    <w:rsid w:val="00431BF0"/>
    <w:rsid w:val="00450B62"/>
    <w:rsid w:val="00493B2B"/>
    <w:rsid w:val="004D29BF"/>
    <w:rsid w:val="005449E4"/>
    <w:rsid w:val="00544A15"/>
    <w:rsid w:val="00575403"/>
    <w:rsid w:val="005C51B4"/>
    <w:rsid w:val="0061086C"/>
    <w:rsid w:val="00631FB5"/>
    <w:rsid w:val="00636CBC"/>
    <w:rsid w:val="0064779C"/>
    <w:rsid w:val="006608DE"/>
    <w:rsid w:val="0067173D"/>
    <w:rsid w:val="006B5E2C"/>
    <w:rsid w:val="006D42C0"/>
    <w:rsid w:val="00711EAF"/>
    <w:rsid w:val="00794C78"/>
    <w:rsid w:val="007D657E"/>
    <w:rsid w:val="00816CB7"/>
    <w:rsid w:val="008376B2"/>
    <w:rsid w:val="00861ACD"/>
    <w:rsid w:val="008961F5"/>
    <w:rsid w:val="008E6057"/>
    <w:rsid w:val="00911D26"/>
    <w:rsid w:val="00911DD9"/>
    <w:rsid w:val="00991873"/>
    <w:rsid w:val="009F0C18"/>
    <w:rsid w:val="00A45B33"/>
    <w:rsid w:val="00A94954"/>
    <w:rsid w:val="00AC32B2"/>
    <w:rsid w:val="00AC6E7A"/>
    <w:rsid w:val="00B21014"/>
    <w:rsid w:val="00B22A40"/>
    <w:rsid w:val="00B41246"/>
    <w:rsid w:val="00B46EBE"/>
    <w:rsid w:val="00B55541"/>
    <w:rsid w:val="00B63727"/>
    <w:rsid w:val="00B8330E"/>
    <w:rsid w:val="00B97E3D"/>
    <w:rsid w:val="00BC63C3"/>
    <w:rsid w:val="00BD7682"/>
    <w:rsid w:val="00BE55C7"/>
    <w:rsid w:val="00C20D97"/>
    <w:rsid w:val="00C74A38"/>
    <w:rsid w:val="00CA4EAA"/>
    <w:rsid w:val="00CB10A1"/>
    <w:rsid w:val="00CE51E5"/>
    <w:rsid w:val="00CF68D0"/>
    <w:rsid w:val="00D07AC4"/>
    <w:rsid w:val="00D305F5"/>
    <w:rsid w:val="00D40829"/>
    <w:rsid w:val="00D7022E"/>
    <w:rsid w:val="00DA2A36"/>
    <w:rsid w:val="00DB1286"/>
    <w:rsid w:val="00DC6227"/>
    <w:rsid w:val="00E036D8"/>
    <w:rsid w:val="00E05873"/>
    <w:rsid w:val="00E21F28"/>
    <w:rsid w:val="00E5296D"/>
    <w:rsid w:val="00EE5358"/>
    <w:rsid w:val="00F20499"/>
    <w:rsid w:val="00F839F6"/>
    <w:rsid w:val="00F961E2"/>
    <w:rsid w:val="00FC3C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C78"/>
    <w:rPr>
      <w:rFonts w:ascii="Calibri" w:eastAsia="Calibri" w:hAnsi="Calibri" w:cs="Mangal"/>
      <w:szCs w:val="22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94C78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794C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C78"/>
    <w:rPr>
      <w:rFonts w:ascii="Calibri" w:eastAsia="Calibri" w:hAnsi="Calibri" w:cs="Mangal"/>
      <w:szCs w:val="22"/>
      <w:lang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794C78"/>
    <w:pPr>
      <w:tabs>
        <w:tab w:val="center" w:pos="4513"/>
        <w:tab w:val="right" w:pos="9026"/>
      </w:tabs>
    </w:pPr>
    <w:rPr>
      <w:lang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94C78"/>
    <w:rPr>
      <w:rFonts w:ascii="Calibri" w:eastAsia="Calibri" w:hAnsi="Calibri" w:cs="Mangal"/>
      <w:szCs w:val="2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1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D26"/>
    <w:rPr>
      <w:rFonts w:ascii="Tahoma" w:eastAsia="Calibri" w:hAnsi="Tahoma" w:cs="Tahoma"/>
      <w:sz w:val="16"/>
      <w:szCs w:val="16"/>
      <w:lang w:bidi="ar-SA"/>
    </w:rPr>
  </w:style>
  <w:style w:type="paragraph" w:styleId="Title">
    <w:name w:val="Title"/>
    <w:basedOn w:val="Normal"/>
    <w:link w:val="TitleChar"/>
    <w:qFormat/>
    <w:rsid w:val="001E1DA1"/>
    <w:pPr>
      <w:spacing w:line="240" w:lineRule="auto"/>
      <w:jc w:val="center"/>
    </w:pPr>
    <w:rPr>
      <w:rFonts w:eastAsia="Times New Roman" w:cs="Times New Roman"/>
      <w:sz w:val="28"/>
      <w:szCs w:val="28"/>
      <w:lang w:eastAsia="en-IN"/>
    </w:rPr>
  </w:style>
  <w:style w:type="character" w:customStyle="1" w:styleId="TitleChar">
    <w:name w:val="Title Char"/>
    <w:basedOn w:val="DefaultParagraphFont"/>
    <w:link w:val="Title"/>
    <w:rsid w:val="001E1DA1"/>
    <w:rPr>
      <w:rFonts w:ascii="Calibri" w:eastAsia="Times New Roman" w:hAnsi="Calibri" w:cs="Times New Roman"/>
      <w:sz w:val="28"/>
      <w:szCs w:val="28"/>
      <w:lang w:eastAsia="en-IN" w:bidi="ar-SA"/>
    </w:rPr>
  </w:style>
  <w:style w:type="paragraph" w:styleId="CommentText">
    <w:name w:val="annotation text"/>
    <w:basedOn w:val="Normal"/>
    <w:link w:val="CommentTextChar"/>
    <w:uiPriority w:val="99"/>
    <w:semiHidden/>
    <w:rsid w:val="001E1DA1"/>
    <w:pPr>
      <w:spacing w:after="0" w:line="240" w:lineRule="auto"/>
    </w:pPr>
    <w:rPr>
      <w:rFonts w:ascii="Times New Roman" w:eastAsia="Times New Roman" w:hAnsi="Times New Roman" w:cs="Gautami"/>
      <w:sz w:val="20"/>
      <w:szCs w:val="20"/>
      <w:lang w:bidi="te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1DA1"/>
    <w:rPr>
      <w:rFonts w:ascii="Times New Roman" w:eastAsia="Times New Roman" w:hAnsi="Times New Roman" w:cs="Gautami"/>
      <w:sz w:val="20"/>
      <w:lang w:bidi="te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jpe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2017-08-31T15:23:00Z</dcterms:created>
  <dcterms:modified xsi:type="dcterms:W3CDTF">2017-08-31T15:51:00Z</dcterms:modified>
</cp:coreProperties>
</file>