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0809" w:rsidRPr="002A162B" w:rsidRDefault="00230809" w:rsidP="00230809">
      <w:pPr>
        <w:pStyle w:val="NormalWeb"/>
        <w:spacing w:before="0" w:beforeAutospacing="0" w:after="0" w:afterAutospacing="0" w:line="276" w:lineRule="auto"/>
        <w:rPr>
          <w:rFonts w:ascii="Tw Cen MT" w:hAnsi="Tw Cen MT"/>
          <w:b/>
          <w:color w:val="0E101A"/>
          <w:sz w:val="22"/>
          <w:szCs w:val="22"/>
          <w:lang w:val="en-GB"/>
        </w:rPr>
      </w:pPr>
      <w:r w:rsidRPr="002A162B">
        <w:rPr>
          <w:rFonts w:ascii="Tw Cen MT" w:hAnsi="Tw Cen MT"/>
          <w:b/>
          <w:color w:val="0E101A"/>
          <w:sz w:val="22"/>
          <w:szCs w:val="22"/>
          <w:lang w:val="en-GB"/>
        </w:rPr>
        <w:t>Interleukin 10- 592 C/A variant association with a HPV E6/E7 mRNA expesion  in group of Macedonian women</w:t>
      </w:r>
    </w:p>
    <w:p w:rsidR="00AE3E37" w:rsidRPr="002A162B" w:rsidRDefault="00230809">
      <w:pPr>
        <w:pStyle w:val="BodyText"/>
        <w:rPr>
          <w:sz w:val="20"/>
        </w:rPr>
      </w:pPr>
      <w:r w:rsidRPr="002A162B">
        <w:t>Sotirija Duvlis</w:t>
      </w:r>
    </w:p>
    <w:p w:rsidR="00AE3E37" w:rsidRPr="002A162B" w:rsidRDefault="00AE3E37">
      <w:pPr>
        <w:rPr>
          <w:sz w:val="21"/>
        </w:rPr>
        <w:sectPr w:rsidR="00AE3E37" w:rsidRPr="002A162B" w:rsidSect="008E5477">
          <w:footerReference w:type="default" r:id="rId7"/>
          <w:type w:val="continuous"/>
          <w:pgSz w:w="11910" w:h="16840"/>
          <w:pgMar w:top="995" w:right="600" w:bottom="840" w:left="620" w:header="0" w:footer="0" w:gutter="0"/>
          <w:cols w:space="720"/>
          <w:docGrid w:linePitch="299"/>
        </w:sectPr>
      </w:pPr>
    </w:p>
    <w:p w:rsidR="00AE3E37" w:rsidRPr="002A162B" w:rsidRDefault="00A9710C">
      <w:pPr>
        <w:pStyle w:val="Heading3"/>
        <w:spacing w:before="147"/>
        <w:jc w:val="both"/>
        <w:rPr>
          <w:rFonts w:ascii="Tw Cen MT" w:hAnsi="Tw Cen MT"/>
        </w:rPr>
      </w:pPr>
      <w:r w:rsidRPr="002A162B">
        <w:rPr>
          <w:rFonts w:ascii="Tw Cen MT" w:hAnsi="Tw Cen MT"/>
          <w:color w:val="BF5A14"/>
        </w:rPr>
        <w:lastRenderedPageBreak/>
        <w:t>Abstract</w:t>
      </w:r>
      <w:r w:rsidR="00404E5B" w:rsidRPr="002A162B">
        <w:rPr>
          <w:rFonts w:ascii="Tw Cen MT" w:hAnsi="Tw Cen MT"/>
          <w:color w:val="BF5A14"/>
        </w:rPr>
        <w:t xml:space="preserve"> (300 word limit)</w:t>
      </w:r>
    </w:p>
    <w:p w:rsidR="00230809" w:rsidRPr="002A162B" w:rsidRDefault="00A9710C" w:rsidP="00230809">
      <w:pPr>
        <w:pStyle w:val="NormalWeb"/>
        <w:spacing w:before="0" w:beforeAutospacing="0" w:after="0" w:afterAutospacing="0" w:line="276" w:lineRule="auto"/>
        <w:rPr>
          <w:rFonts w:ascii="Tw Cen MT" w:hAnsi="Tw Cen MT"/>
          <w:color w:val="0E101A"/>
          <w:sz w:val="18"/>
          <w:szCs w:val="18"/>
          <w:lang w:val="en-US"/>
        </w:rPr>
      </w:pPr>
      <w:r w:rsidRPr="002A162B">
        <w:rPr>
          <w:rFonts w:ascii="Tw Cen MT" w:hAnsi="Tw Cen MT"/>
          <w:sz w:val="18"/>
          <w:szCs w:val="18"/>
        </w:rPr>
        <w:t xml:space="preserve">Statement of the Problem: </w:t>
      </w:r>
      <w:r w:rsidR="00230809" w:rsidRPr="002A162B">
        <w:rPr>
          <w:rFonts w:ascii="Tw Cen MT" w:hAnsi="Tw Cen MT"/>
          <w:color w:val="0E101A"/>
          <w:sz w:val="18"/>
          <w:szCs w:val="18"/>
        </w:rPr>
        <w:t>Interleukin 10 (IL-10) is an immunosuppressive cytokine and its genetic variant could have an indirect impact on viral biology and HPV E6/E7 mRNA expression as well. In the study, we evaluate the association between IL10 -592 C/A polymorphism and HPV E6/E7 mRNA expression in a group of women from R North Macedonia.</w:t>
      </w:r>
      <w:r w:rsidRPr="002A162B">
        <w:rPr>
          <w:rFonts w:ascii="Tw Cen MT" w:hAnsi="Tw Cen MT"/>
          <w:sz w:val="18"/>
          <w:szCs w:val="18"/>
        </w:rPr>
        <w:t xml:space="preserve"> </w:t>
      </w:r>
      <w:r w:rsidR="00230809" w:rsidRPr="002A162B">
        <w:rPr>
          <w:rFonts w:ascii="Tw Cen MT" w:hAnsi="Tw Cen MT"/>
          <w:color w:val="0E101A"/>
          <w:sz w:val="18"/>
          <w:szCs w:val="18"/>
        </w:rPr>
        <w:t xml:space="preserve">Using PreTect HPV proofer (Norchip) and HPV 4 ACE (Seegen) tests we analyzed 272 </w:t>
      </w:r>
      <w:r w:rsidR="00230809" w:rsidRPr="002A162B">
        <w:rPr>
          <w:rFonts w:ascii="Tw Cen MT" w:hAnsi="Tw Cen MT"/>
          <w:color w:val="0E101A"/>
          <w:sz w:val="18"/>
          <w:szCs w:val="18"/>
          <w:lang w:val="en-US"/>
        </w:rPr>
        <w:t xml:space="preserve">women’s </w:t>
      </w:r>
      <w:r w:rsidR="00230809" w:rsidRPr="002A162B">
        <w:rPr>
          <w:rFonts w:ascii="Tw Cen MT" w:hAnsi="Tw Cen MT"/>
          <w:color w:val="0E101A"/>
          <w:sz w:val="18"/>
          <w:szCs w:val="18"/>
        </w:rPr>
        <w:t xml:space="preserve">cervical samples for HPV E6/E7 mRNA and HPV DNA presence respectively. The </w:t>
      </w:r>
      <w:r w:rsidR="00230809" w:rsidRPr="002A162B">
        <w:rPr>
          <w:rFonts w:ascii="Tw Cen MT" w:hAnsi="Tw Cen MT"/>
          <w:color w:val="0E101A"/>
          <w:sz w:val="18"/>
          <w:szCs w:val="18"/>
          <w:lang w:val="en-US"/>
        </w:rPr>
        <w:t xml:space="preserve">cases </w:t>
      </w:r>
      <w:r w:rsidR="00230809" w:rsidRPr="002A162B">
        <w:rPr>
          <w:rFonts w:ascii="Tw Cen MT" w:hAnsi="Tw Cen MT"/>
          <w:color w:val="0E101A"/>
          <w:sz w:val="18"/>
          <w:szCs w:val="18"/>
        </w:rPr>
        <w:t xml:space="preserve">were stratified into three groups: double-positive (n=108, </w:t>
      </w:r>
      <w:r w:rsidR="00230809" w:rsidRPr="002A162B">
        <w:rPr>
          <w:rFonts w:ascii="Tw Cen MT" w:hAnsi="Tw Cen MT"/>
          <w:color w:val="0E101A"/>
          <w:sz w:val="18"/>
          <w:szCs w:val="18"/>
          <w:lang w:val="en-US"/>
        </w:rPr>
        <w:t>positive for both tests</w:t>
      </w:r>
      <w:r w:rsidR="00230809" w:rsidRPr="002A162B">
        <w:rPr>
          <w:rFonts w:ascii="Tw Cen MT" w:hAnsi="Tw Cen MT"/>
          <w:color w:val="0E101A"/>
          <w:sz w:val="18"/>
          <w:szCs w:val="18"/>
        </w:rPr>
        <w:t>), negative (n=51, negative for HPV E6/E7 mRNA and HPV DNA positive), and the control group (n=113, negative for both tests). The IL10-592 C/A polymorphism was analyzed using polymerase chain reaction-restriction fragment length polymorphism</w:t>
      </w:r>
      <w:r w:rsidR="00230809" w:rsidRPr="002A162B">
        <w:rPr>
          <w:rFonts w:ascii="Tw Cen MT" w:hAnsi="Tw Cen MT"/>
          <w:color w:val="0E101A"/>
          <w:sz w:val="18"/>
          <w:szCs w:val="18"/>
          <w:lang w:val="en-US"/>
        </w:rPr>
        <w:t>.</w:t>
      </w:r>
      <w:r w:rsidRPr="002A162B">
        <w:rPr>
          <w:rFonts w:ascii="Tw Cen MT" w:hAnsi="Tw Cen MT"/>
          <w:sz w:val="18"/>
          <w:szCs w:val="18"/>
        </w:rPr>
        <w:t xml:space="preserve">. Findings: </w:t>
      </w:r>
      <w:r w:rsidR="00230809" w:rsidRPr="002A162B">
        <w:rPr>
          <w:rFonts w:ascii="Tw Cen MT" w:hAnsi="Tw Cen MT"/>
          <w:color w:val="0E101A"/>
          <w:sz w:val="18"/>
          <w:szCs w:val="18"/>
          <w:lang w:val="en-US"/>
        </w:rPr>
        <w:t>The results showed t</w:t>
      </w:r>
      <w:r w:rsidR="00230809" w:rsidRPr="002A162B">
        <w:rPr>
          <w:rFonts w:ascii="Tw Cen MT" w:hAnsi="Tw Cen MT"/>
          <w:color w:val="0E101A"/>
          <w:sz w:val="18"/>
          <w:szCs w:val="18"/>
        </w:rPr>
        <w:t>he CC genotype and the C allele frequencies of IL10-592C/A were significantly higher in double-positive (59.3% and 78.2%) compared to negative group (39.2% and 65.7%), (p=0.01, CI=0.44;0.22-0.87- dominant model; and p=0.01, CI =0.53; 0.3-0.8 respectively</w:t>
      </w:r>
      <w:r w:rsidR="00230809" w:rsidRPr="002A162B">
        <w:rPr>
          <w:rFonts w:ascii="Tw Cen MT" w:hAnsi="Tw Cen MT"/>
          <w:color w:val="0E101A"/>
          <w:sz w:val="18"/>
          <w:szCs w:val="18"/>
          <w:lang w:val="en-US"/>
        </w:rPr>
        <w:t>).</w:t>
      </w:r>
    </w:p>
    <w:p w:rsidR="00AE3E37" w:rsidRPr="002A162B" w:rsidRDefault="00A9710C" w:rsidP="00230809">
      <w:pPr>
        <w:pStyle w:val="BodyText"/>
        <w:spacing w:before="90" w:line="280" w:lineRule="auto"/>
        <w:ind w:left="100"/>
        <w:jc w:val="both"/>
      </w:pPr>
      <w:r w:rsidRPr="002A162B">
        <w:t xml:space="preserve">Conclusion &amp; Significance: </w:t>
      </w:r>
      <w:r w:rsidR="00230809" w:rsidRPr="002A162B">
        <w:rPr>
          <w:color w:val="0E101A"/>
        </w:rPr>
        <w:t>The CC genotype and C allele of IL10-592 showed to be associated with HPV E6/E7 mRNA but not with HPV DNA positivity, which could mean this polymorphism could affect the course of the infection only after HPV onset and it is not associated with susceptibility to HPV.</w:t>
      </w:r>
      <w:r w:rsidRPr="002A162B">
        <w:br w:type="column"/>
      </w:r>
      <w:r w:rsidRPr="002A162B">
        <w:rPr>
          <w:color w:val="BF5A14"/>
        </w:rPr>
        <w:lastRenderedPageBreak/>
        <w:t>Image</w:t>
      </w:r>
    </w:p>
    <w:p w:rsidR="00AE3E37" w:rsidRPr="002A162B" w:rsidRDefault="00AE3E37">
      <w:pPr>
        <w:pStyle w:val="BodyText"/>
        <w:spacing w:before="2"/>
        <w:rPr>
          <w:b/>
        </w:rPr>
      </w:pPr>
    </w:p>
    <w:p w:rsidR="005973B9" w:rsidRPr="002A162B" w:rsidRDefault="005973B9" w:rsidP="005973B9">
      <w:pPr>
        <w:spacing w:line="204" w:lineRule="exact"/>
        <w:rPr>
          <w:b/>
          <w:sz w:val="18"/>
          <w:szCs w:val="18"/>
        </w:rPr>
      </w:pPr>
      <w:r w:rsidRPr="002A162B">
        <w:rPr>
          <w:b/>
          <w:color w:val="BF5A14"/>
          <w:sz w:val="18"/>
          <w:szCs w:val="18"/>
        </w:rPr>
        <w:br/>
        <w:t>Recent Publications (minimum 5)</w:t>
      </w:r>
    </w:p>
    <w:p w:rsidR="00230809" w:rsidRPr="002A162B" w:rsidRDefault="00230809" w:rsidP="00230809">
      <w:pPr>
        <w:pStyle w:val="EndNoteBibliography"/>
        <w:numPr>
          <w:ilvl w:val="0"/>
          <w:numId w:val="3"/>
        </w:numPr>
        <w:spacing w:after="0"/>
        <w:rPr>
          <w:rFonts w:ascii="Tw Cen MT" w:hAnsi="Tw Cen MT"/>
          <w:sz w:val="16"/>
          <w:szCs w:val="16"/>
        </w:rPr>
      </w:pPr>
      <w:r w:rsidRPr="002A162B">
        <w:rPr>
          <w:rFonts w:ascii="Tw Cen MT" w:hAnsi="Tw Cen MT"/>
          <w:sz w:val="16"/>
          <w:szCs w:val="16"/>
        </w:rPr>
        <w:t xml:space="preserve">Lowe PR, Galley HF, Abdel-Fattah A, Webster NR. Influence of interleukin-10 polymorphisms on interleukin-10 expression and survival in critically ill patients. </w:t>
      </w:r>
      <w:r w:rsidRPr="002A162B">
        <w:rPr>
          <w:rFonts w:ascii="Tw Cen MT" w:hAnsi="Tw Cen MT"/>
          <w:i/>
          <w:sz w:val="16"/>
          <w:szCs w:val="16"/>
        </w:rPr>
        <w:t>Critical care medicine</w:t>
      </w:r>
      <w:r w:rsidRPr="002A162B">
        <w:rPr>
          <w:rFonts w:ascii="Tw Cen MT" w:hAnsi="Tw Cen MT"/>
          <w:sz w:val="16"/>
          <w:szCs w:val="16"/>
        </w:rPr>
        <w:t>. Jan 2003;31(1):34-8. doi:10.1097/00003246-200301000-00005</w:t>
      </w:r>
    </w:p>
    <w:p w:rsidR="002A162B" w:rsidRPr="002A162B" w:rsidRDefault="002A162B" w:rsidP="002A162B">
      <w:pPr>
        <w:pStyle w:val="EndNoteBibliography"/>
        <w:numPr>
          <w:ilvl w:val="0"/>
          <w:numId w:val="3"/>
        </w:numPr>
        <w:spacing w:after="0"/>
        <w:rPr>
          <w:rFonts w:ascii="Tw Cen MT" w:hAnsi="Tw Cen MT"/>
          <w:sz w:val="16"/>
          <w:szCs w:val="16"/>
        </w:rPr>
      </w:pPr>
      <w:r w:rsidRPr="002A162B">
        <w:rPr>
          <w:rFonts w:ascii="Tw Cen MT" w:hAnsi="Tw Cen MT"/>
          <w:sz w:val="16"/>
          <w:szCs w:val="16"/>
        </w:rPr>
        <w:t xml:space="preserve">Langsenlehner U, Krippl P, Renner W, et al. Interleukin-10 promoter polymorphism is associated with decreased breast cancer risk. </w:t>
      </w:r>
      <w:r w:rsidRPr="002A162B">
        <w:rPr>
          <w:rFonts w:ascii="Tw Cen MT" w:hAnsi="Tw Cen MT"/>
          <w:i/>
          <w:sz w:val="16"/>
          <w:szCs w:val="16"/>
        </w:rPr>
        <w:t>Breast cancer research and treatment</w:t>
      </w:r>
      <w:r w:rsidRPr="002A162B">
        <w:rPr>
          <w:rFonts w:ascii="Tw Cen MT" w:hAnsi="Tw Cen MT"/>
          <w:sz w:val="16"/>
          <w:szCs w:val="16"/>
        </w:rPr>
        <w:t>. Mar 2005;90(2):113-5. doi:10.1007/s10549-004-3607-7</w:t>
      </w:r>
    </w:p>
    <w:p w:rsidR="002A162B" w:rsidRPr="002A162B" w:rsidRDefault="002A162B" w:rsidP="002A162B">
      <w:pPr>
        <w:pStyle w:val="EndNoteBibliography"/>
        <w:numPr>
          <w:ilvl w:val="0"/>
          <w:numId w:val="3"/>
        </w:numPr>
        <w:spacing w:after="0"/>
        <w:rPr>
          <w:rFonts w:ascii="Tw Cen MT" w:hAnsi="Tw Cen MT"/>
          <w:sz w:val="16"/>
          <w:szCs w:val="16"/>
        </w:rPr>
      </w:pPr>
      <w:r w:rsidRPr="002A162B">
        <w:rPr>
          <w:rFonts w:ascii="Tw Cen MT" w:hAnsi="Tw Cen MT"/>
          <w:sz w:val="16"/>
          <w:szCs w:val="16"/>
        </w:rPr>
        <w:t xml:space="preserve">Berti FCB, Pereira APL, Cebinelli GCM, Trugilo KP, Brajão de Oliveira K. The role of interleukin 10 in human papilloma virus infection and progression to cervical carcinoma. </w:t>
      </w:r>
      <w:r w:rsidRPr="002A162B">
        <w:rPr>
          <w:rFonts w:ascii="Tw Cen MT" w:hAnsi="Tw Cen MT"/>
          <w:i/>
          <w:sz w:val="16"/>
          <w:szCs w:val="16"/>
        </w:rPr>
        <w:t>Cytokine Growth Factor Rev</w:t>
      </w:r>
      <w:r w:rsidRPr="002A162B">
        <w:rPr>
          <w:rFonts w:ascii="Tw Cen MT" w:hAnsi="Tw Cen MT"/>
          <w:sz w:val="16"/>
          <w:szCs w:val="16"/>
        </w:rPr>
        <w:t>. Apr 2017;34:1-13. doi:10.1016/j.cytogfr.2017.03.002</w:t>
      </w:r>
    </w:p>
    <w:p w:rsidR="002A162B" w:rsidRPr="002A162B" w:rsidRDefault="002A162B" w:rsidP="002A162B">
      <w:pPr>
        <w:pStyle w:val="EndNoteBibliography"/>
        <w:numPr>
          <w:ilvl w:val="0"/>
          <w:numId w:val="3"/>
        </w:numPr>
        <w:spacing w:after="0"/>
        <w:rPr>
          <w:rFonts w:ascii="Tw Cen MT" w:hAnsi="Tw Cen MT"/>
          <w:sz w:val="16"/>
          <w:szCs w:val="16"/>
        </w:rPr>
      </w:pPr>
      <w:r w:rsidRPr="002A162B">
        <w:rPr>
          <w:rFonts w:ascii="Tw Cen MT" w:hAnsi="Tw Cen MT"/>
          <w:sz w:val="16"/>
          <w:szCs w:val="16"/>
        </w:rPr>
        <w:t xml:space="preserve">Brooks DG, Trifilo MJ, Edelmann KH, Teyton L, McGavern DB, Oldstone MB. Interleukin-10 determines viral clearance or persistence in vivo. </w:t>
      </w:r>
      <w:r w:rsidRPr="002A162B">
        <w:rPr>
          <w:rFonts w:ascii="Tw Cen MT" w:hAnsi="Tw Cen MT"/>
          <w:i/>
          <w:sz w:val="16"/>
          <w:szCs w:val="16"/>
        </w:rPr>
        <w:t>Nat Med</w:t>
      </w:r>
      <w:r w:rsidRPr="002A162B">
        <w:rPr>
          <w:rFonts w:ascii="Tw Cen MT" w:hAnsi="Tw Cen MT"/>
          <w:sz w:val="16"/>
          <w:szCs w:val="16"/>
        </w:rPr>
        <w:t>. Nov 2006;12(11):1301-9. doi:10.1038/nm1492</w:t>
      </w:r>
    </w:p>
    <w:p w:rsidR="00AE3E37" w:rsidRPr="002A162B" w:rsidRDefault="005973B9" w:rsidP="002A162B">
      <w:pPr>
        <w:pStyle w:val="BodyText"/>
        <w:spacing w:before="85" w:line="216" w:lineRule="exact"/>
        <w:ind w:left="383" w:right="138" w:hanging="284"/>
        <w:jc w:val="both"/>
        <w:rPr>
          <w:sz w:val="16"/>
          <w:szCs w:val="16"/>
        </w:rPr>
      </w:pPr>
      <w:r w:rsidRPr="002A162B">
        <w:rPr>
          <w:sz w:val="16"/>
          <w:szCs w:val="16"/>
        </w:rPr>
        <w:t xml:space="preserve">5. </w:t>
      </w:r>
      <w:r w:rsidR="002A162B" w:rsidRPr="002A162B">
        <w:rPr>
          <w:sz w:val="16"/>
          <w:szCs w:val="16"/>
        </w:rPr>
        <w:t xml:space="preserve">Arany I, Grattendick KG, Tyring SK. Interleukin-10 induces transcription of the early promoter of human papillomavirus type 16 (HPV16) through the 5'-segment of the upstream regulatory region (URR). </w:t>
      </w:r>
      <w:r w:rsidR="002A162B" w:rsidRPr="002A162B">
        <w:rPr>
          <w:i/>
          <w:sz w:val="16"/>
          <w:szCs w:val="16"/>
        </w:rPr>
        <w:t>Antiviral Res</w:t>
      </w:r>
      <w:r w:rsidR="002A162B" w:rsidRPr="002A162B">
        <w:rPr>
          <w:sz w:val="16"/>
          <w:szCs w:val="16"/>
        </w:rPr>
        <w:t>. Aug 2002;55(2):331-9. doi:10.1016/s0166-3542(02)00070-0</w:t>
      </w:r>
    </w:p>
    <w:p w:rsidR="00AE3E37" w:rsidRPr="002A162B" w:rsidRDefault="00AE3E37">
      <w:pPr>
        <w:spacing w:line="200" w:lineRule="exact"/>
        <w:jc w:val="both"/>
        <w:sectPr w:rsidR="00AE3E37" w:rsidRPr="002A162B" w:rsidSect="008E5477">
          <w:type w:val="continuous"/>
          <w:pgSz w:w="11910" w:h="16840"/>
          <w:pgMar w:top="995" w:right="600" w:bottom="840" w:left="620" w:header="720" w:footer="720" w:gutter="0"/>
          <w:cols w:num="2" w:space="720" w:equalWidth="0">
            <w:col w:w="5214" w:space="138"/>
            <w:col w:w="5338"/>
          </w:cols>
        </w:sectPr>
      </w:pPr>
    </w:p>
    <w:p w:rsidR="00AE3E37" w:rsidRPr="002A162B" w:rsidRDefault="00AE3E37">
      <w:pPr>
        <w:pStyle w:val="BodyText"/>
        <w:rPr>
          <w:sz w:val="20"/>
        </w:rPr>
      </w:pPr>
    </w:p>
    <w:p w:rsidR="00AE3E37" w:rsidRDefault="00304485">
      <w:pPr>
        <w:pStyle w:val="BodyText"/>
        <w:spacing w:line="40" w:lineRule="exact"/>
        <w:ind w:left="2202"/>
        <w:rPr>
          <w:rFonts w:ascii="Calibri"/>
          <w:sz w:val="4"/>
        </w:rPr>
      </w:pPr>
      <w:r w:rsidRPr="00304485">
        <w:rPr>
          <w:rFonts w:ascii="Calibri"/>
          <w:noProof/>
          <w:sz w:val="4"/>
        </w:rPr>
      </w:r>
      <w:r>
        <w:rPr>
          <w:rFonts w:ascii="Calibri"/>
          <w:noProof/>
          <w:sz w:val="4"/>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304485" w:rsidP="00404E5B">
      <w:pPr>
        <w:spacing w:before="92"/>
        <w:ind w:right="4234"/>
        <w:rPr>
          <w:rFonts w:ascii="Arial"/>
        </w:rPr>
      </w:pPr>
      <w:r w:rsidRPr="00304485">
        <w:rPr>
          <w:rFonts w:ascii="Times New Roman" w:hAnsi="Times New Roman" w:cs="Times New Roman"/>
          <w:noProof/>
          <w:sz w:val="24"/>
          <w:szCs w:val="24"/>
        </w:rPr>
        <w:pict>
          <v:roundrect id="Rounded Rectangle 2" o:spid="_x0000_s1029"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w:r>
      <w:r w:rsidR="008756E6">
        <w:rPr>
          <w:noProof/>
          <w:lang w:val="mk-MK" w:eastAsia="mk-MK"/>
        </w:rPr>
        <w:drawing>
          <wp:inline distT="0" distB="0" distL="0" distR="0">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2A162B" w:rsidRDefault="002A162B" w:rsidP="002A162B">
      <w:pPr>
        <w:spacing w:before="41" w:line="154" w:lineRule="exact"/>
        <w:ind w:left="213" w:right="231"/>
        <w:jc w:val="both"/>
        <w:rPr>
          <w:rFonts w:ascii="Arial"/>
          <w:sz w:val="14"/>
          <w:lang w:val="mk-MK"/>
        </w:rPr>
      </w:pPr>
      <w:r>
        <w:rPr>
          <w:rFonts w:ascii="Arial" w:hAnsi="Arial" w:cs="Arial"/>
          <w:sz w:val="14"/>
          <w:lang w:val="en-GB"/>
        </w:rPr>
        <w:t xml:space="preserve">Sotirija Duvlis </w:t>
      </w:r>
      <w:r w:rsidRPr="002A162B">
        <w:rPr>
          <w:rFonts w:ascii="Arial"/>
          <w:sz w:val="14"/>
        </w:rPr>
        <w:t xml:space="preserve">has focused </w:t>
      </w:r>
      <w:r>
        <w:rPr>
          <w:rFonts w:ascii="Arial"/>
          <w:sz w:val="14"/>
        </w:rPr>
        <w:t>her</w:t>
      </w:r>
      <w:r w:rsidRPr="002A162B">
        <w:rPr>
          <w:rFonts w:ascii="Arial"/>
          <w:sz w:val="14"/>
        </w:rPr>
        <w:t xml:space="preserve"> research and education on understanding the immune factors that affect the persistence of HPV infection and the risk of developing cervical cancer. In particular, research has focused on immunogenetic variants of cytokines that correlate with increased or dec</w:t>
      </w:r>
      <w:r>
        <w:rPr>
          <w:rFonts w:ascii="Arial"/>
          <w:sz w:val="14"/>
        </w:rPr>
        <w:t>reased interleukin expression.</w:t>
      </w:r>
      <w:r w:rsidRPr="002A162B">
        <w:rPr>
          <w:rFonts w:ascii="Arial"/>
          <w:sz w:val="14"/>
        </w:rPr>
        <w:t xml:space="preserve"> Her research focuses on identifying immune factors that could be an early marker to predict which women are at risk for developing cervical cancer. Detection of these markers and their implementation in everyday practice would prevent the growth of cervical cancer by detecting immunogenetic markers in the case of </w:t>
      </w:r>
      <w:r w:rsidR="00310D49">
        <w:rPr>
          <w:rFonts w:ascii="Arial"/>
          <w:sz w:val="14"/>
        </w:rPr>
        <w:t xml:space="preserve">interleukin </w:t>
      </w:r>
      <w:r w:rsidRPr="002A162B">
        <w:rPr>
          <w:rFonts w:ascii="Arial"/>
          <w:sz w:val="14"/>
        </w:rPr>
        <w:t>10</w:t>
      </w:r>
    </w:p>
    <w:p w:rsidR="002A162B" w:rsidRDefault="002A162B" w:rsidP="002A162B">
      <w:pPr>
        <w:spacing w:before="41" w:line="154" w:lineRule="exact"/>
        <w:ind w:left="213" w:right="231"/>
        <w:jc w:val="both"/>
        <w:rPr>
          <w:rFonts w:ascii="Arial"/>
          <w:sz w:val="14"/>
          <w:lang w:val="mk-MK"/>
        </w:rPr>
      </w:pPr>
    </w:p>
    <w:p w:rsidR="002A162B" w:rsidRDefault="002A162B" w:rsidP="002A162B">
      <w:pPr>
        <w:spacing w:before="41" w:line="154" w:lineRule="exact"/>
        <w:ind w:left="213" w:right="231"/>
        <w:jc w:val="both"/>
        <w:rPr>
          <w:rFonts w:ascii="Arial"/>
          <w:sz w:val="14"/>
          <w:lang w:val="mk-MK"/>
        </w:rPr>
      </w:pPr>
    </w:p>
    <w:p w:rsidR="002A162B" w:rsidRDefault="002A162B" w:rsidP="002A162B">
      <w:pPr>
        <w:spacing w:before="41" w:line="154" w:lineRule="exact"/>
        <w:ind w:left="213" w:right="231"/>
        <w:jc w:val="both"/>
        <w:rPr>
          <w:rFonts w:ascii="Arial"/>
          <w:sz w:val="14"/>
          <w:lang w:val="mk-MK"/>
        </w:rPr>
      </w:pPr>
    </w:p>
    <w:p w:rsidR="00AE3E37" w:rsidRPr="00310D49" w:rsidRDefault="00A9710C" w:rsidP="00310D49">
      <w:pPr>
        <w:spacing w:before="41" w:line="154" w:lineRule="exact"/>
        <w:ind w:left="3813" w:right="231" w:firstLine="507"/>
        <w:jc w:val="both"/>
        <w:rPr>
          <w:rFonts w:ascii="Arial"/>
        </w:rPr>
      </w:pPr>
      <w:r w:rsidRPr="00310D49">
        <w:rPr>
          <w:rFonts w:ascii="Arial"/>
        </w:rPr>
        <w:t xml:space="preserve">Email: </w:t>
      </w:r>
      <w:r w:rsidR="00230809" w:rsidRPr="00310D49">
        <w:rPr>
          <w:rFonts w:ascii="Arial"/>
        </w:rPr>
        <w:t>sotirija.duvlis@ugd.edu.mk</w:t>
      </w:r>
    </w:p>
    <w:p w:rsidR="00AE3E37" w:rsidRDefault="00304485">
      <w:pPr>
        <w:pStyle w:val="BodyText"/>
        <w:spacing w:before="2"/>
        <w:rPr>
          <w:rFonts w:ascii="Arial"/>
          <w:sz w:val="19"/>
        </w:rPr>
      </w:pPr>
      <w:r w:rsidRPr="00304485">
        <w:rPr>
          <w:noProof/>
        </w:rPr>
        <w:pict>
          <v:line id="Line 3" o:spid="_x0000_s1028"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230809">
        <w:rPr>
          <w:sz w:val="20"/>
          <w:szCs w:val="20"/>
          <w:lang w:val="en-NZ"/>
        </w:rPr>
        <w:t>Sotirija Duvlis</w:t>
      </w:r>
      <w:r w:rsidRPr="00F35A62">
        <w:rPr>
          <w:sz w:val="20"/>
          <w:szCs w:val="20"/>
          <w:lang w:val="en-NZ"/>
        </w:rPr>
        <w:br/>
        <w:t>Contact number:</w:t>
      </w:r>
      <w:r w:rsidR="00230809">
        <w:rPr>
          <w:sz w:val="20"/>
          <w:szCs w:val="20"/>
          <w:lang w:val="en-NZ"/>
        </w:rPr>
        <w:t xml:space="preserve"> 0038971558201</w:t>
      </w:r>
      <w:r w:rsidRPr="00F35A62">
        <w:rPr>
          <w:sz w:val="20"/>
          <w:szCs w:val="20"/>
          <w:lang w:val="en-NZ"/>
        </w:rPr>
        <w:br/>
        <w:t>Twitter account:</w:t>
      </w:r>
      <w:r w:rsidRPr="00F35A62">
        <w:rPr>
          <w:sz w:val="20"/>
          <w:szCs w:val="20"/>
          <w:lang w:val="en-NZ"/>
        </w:rPr>
        <w:br/>
        <w:t>Linked In account:</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(Poster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bookmarkStart w:id="0" w:name="_GoBack"/>
      <w:bookmarkEnd w:id="0"/>
    </w:p>
    <w:p w:rsidR="00AE3E37" w:rsidRDefault="00AE3E37" w:rsidP="00BA71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797A" w:rsidRDefault="0006797A">
      <w:r>
        <w:separator/>
      </w:r>
    </w:p>
  </w:endnote>
  <w:endnote w:type="continuationSeparator" w:id="1">
    <w:p w:rsidR="0006797A" w:rsidRDefault="0006797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304485">
    <w:pPr>
      <w:pStyle w:val="BodyText"/>
      <w:spacing w:line="14" w:lineRule="auto"/>
      <w:rPr>
        <w:sz w:val="20"/>
      </w:rPr>
    </w:pPr>
    <w:r w:rsidRPr="00304485">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304485">
      <w:rPr>
        <w:noProof/>
      </w:rPr>
      <w:pict>
        <v:shape id="Text Box 2" o:spid="_x0000_s409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304485">
      <w:rPr>
        <w:noProof/>
      </w:rPr>
      <w:pict>
        <v:shape id="Text Box 1" o:spid="_x0000_s409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797A" w:rsidRDefault="0006797A">
      <w:r>
        <w:separator/>
      </w:r>
    </w:p>
  </w:footnote>
  <w:footnote w:type="continuationSeparator" w:id="1">
    <w:p w:rsidR="0006797A" w:rsidRDefault="000679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4101"/>
    <o:shapelayout v:ext="edit">
      <o:idmap v:ext="edit" data="4"/>
    </o:shapelayout>
  </w:hdrShapeDefaults>
  <w:footnotePr>
    <w:footnote w:id="0"/>
    <w:footnote w:id="1"/>
  </w:footnotePr>
  <w:endnotePr>
    <w:endnote w:id="0"/>
    <w:endnote w:id="1"/>
  </w:endnotePr>
  <w:compat>
    <w:ulTrailSpace/>
  </w:compat>
  <w:rsids>
    <w:rsidRoot w:val="00AE3E37"/>
    <w:rsid w:val="000534A1"/>
    <w:rsid w:val="0006797A"/>
    <w:rsid w:val="000B4CAA"/>
    <w:rsid w:val="000E2911"/>
    <w:rsid w:val="001263DF"/>
    <w:rsid w:val="00230809"/>
    <w:rsid w:val="00292ED9"/>
    <w:rsid w:val="002A162B"/>
    <w:rsid w:val="00304485"/>
    <w:rsid w:val="00310D4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A7120"/>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link w:val="NormalWebChar"/>
    <w:uiPriority w:val="99"/>
    <w:unhideWhenUsed/>
    <w:rsid w:val="00230809"/>
    <w:pPr>
      <w:widowControl/>
      <w:spacing w:before="100" w:beforeAutospacing="1" w:after="100" w:afterAutospacing="1"/>
    </w:pPr>
    <w:rPr>
      <w:rFonts w:ascii="Times New Roman" w:eastAsia="Times New Roman" w:hAnsi="Times New Roman" w:cs="Times New Roman"/>
      <w:sz w:val="24"/>
      <w:szCs w:val="24"/>
      <w:lang/>
    </w:rPr>
  </w:style>
  <w:style w:type="character" w:customStyle="1" w:styleId="NormalWebChar">
    <w:name w:val="Normal (Web) Char"/>
    <w:link w:val="NormalWeb"/>
    <w:uiPriority w:val="99"/>
    <w:rsid w:val="00230809"/>
    <w:rPr>
      <w:rFonts w:ascii="Times New Roman" w:eastAsia="Times New Roman" w:hAnsi="Times New Roman" w:cs="Times New Roman"/>
      <w:sz w:val="24"/>
      <w:szCs w:val="24"/>
      <w:lang/>
    </w:rPr>
  </w:style>
  <w:style w:type="paragraph" w:customStyle="1" w:styleId="EndNoteBibliography">
    <w:name w:val="EndNote Bibliography"/>
    <w:basedOn w:val="Normal"/>
    <w:link w:val="EndNoteBibliographyChar"/>
    <w:rsid w:val="00230809"/>
    <w:pPr>
      <w:widowControl/>
      <w:spacing w:after="200"/>
    </w:pPr>
    <w:rPr>
      <w:rFonts w:ascii="Times New Roman" w:eastAsia="Times New Roman" w:hAnsi="Times New Roman" w:cs="Times New Roman"/>
      <w:noProof/>
      <w:sz w:val="24"/>
      <w:lang/>
    </w:rPr>
  </w:style>
  <w:style w:type="character" w:customStyle="1" w:styleId="EndNoteBibliographyChar">
    <w:name w:val="EndNote Bibliography Char"/>
    <w:link w:val="EndNoteBibliography"/>
    <w:rsid w:val="00230809"/>
    <w:rPr>
      <w:rFonts w:ascii="Times New Roman" w:eastAsia="Times New Roman" w:hAnsi="Times New Roman" w:cs="Times New Roman"/>
      <w:noProof/>
      <w:sz w:val="24"/>
      <w:lan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557</Words>
  <Characters>3181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user</cp:lastModifiedBy>
  <cp:revision>3</cp:revision>
  <dcterms:created xsi:type="dcterms:W3CDTF">2022-02-21T08:45:00Z</dcterms:created>
  <dcterms:modified xsi:type="dcterms:W3CDTF">2022-02-21T08:46:00Z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