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8FC" w:rsidRDefault="00640F85"/>
    <w:p w:rsidR="00180FE0" w:rsidRDefault="00180FE0"/>
    <w:p w:rsidR="00180FE0" w:rsidRDefault="00180FE0"/>
    <w:p w:rsidR="00180FE0" w:rsidRDefault="00180FE0"/>
    <w:p w:rsidR="00180FE0" w:rsidRDefault="00180FE0">
      <w:pPr>
        <w:rPr>
          <w:rFonts w:ascii="Times New Roman" w:hAnsi="Times New Roman" w:cs="Times New Roman"/>
          <w:b/>
          <w:sz w:val="24"/>
          <w:szCs w:val="24"/>
        </w:rPr>
      </w:pPr>
      <w:r>
        <w:rPr>
          <w:rFonts w:ascii="Times New Roman" w:hAnsi="Times New Roman" w:cs="Times New Roman"/>
          <w:b/>
          <w:sz w:val="24"/>
          <w:szCs w:val="24"/>
        </w:rPr>
        <w:t>Title:  The Phenomenon of Maternal Cradling Bias: Occurrence and Purpose in Newborn Neural Development</w:t>
      </w:r>
    </w:p>
    <w:p w:rsidR="00180FE0" w:rsidRDefault="00180FE0">
      <w:pPr>
        <w:rPr>
          <w:rFonts w:ascii="Times New Roman" w:hAnsi="Times New Roman" w:cs="Times New Roman"/>
          <w:b/>
          <w:sz w:val="24"/>
          <w:szCs w:val="24"/>
        </w:rPr>
      </w:pPr>
    </w:p>
    <w:p w:rsidR="00180FE0" w:rsidRDefault="00180FE0" w:rsidP="00180FE0">
      <w:pPr>
        <w:jc w:val="center"/>
        <w:rPr>
          <w:rFonts w:ascii="Times New Roman" w:hAnsi="Times New Roman" w:cs="Times New Roman"/>
          <w:sz w:val="24"/>
          <w:szCs w:val="24"/>
        </w:rPr>
      </w:pPr>
      <w:r>
        <w:rPr>
          <w:rFonts w:ascii="Times New Roman" w:hAnsi="Times New Roman" w:cs="Times New Roman"/>
          <w:sz w:val="24"/>
          <w:szCs w:val="24"/>
        </w:rPr>
        <w:t>Name:  Sharon J. Jones, Ph.D./CCC-SLP</w:t>
      </w:r>
    </w:p>
    <w:p w:rsidR="00180FE0" w:rsidRDefault="00180FE0" w:rsidP="00180FE0">
      <w:pPr>
        <w:jc w:val="center"/>
        <w:rPr>
          <w:rFonts w:ascii="Times New Roman" w:hAnsi="Times New Roman" w:cs="Times New Roman"/>
          <w:sz w:val="24"/>
          <w:szCs w:val="24"/>
        </w:rPr>
      </w:pPr>
      <w:r>
        <w:rPr>
          <w:rFonts w:ascii="Times New Roman" w:hAnsi="Times New Roman" w:cs="Times New Roman"/>
          <w:sz w:val="24"/>
          <w:szCs w:val="24"/>
        </w:rPr>
        <w:t>Northeastern State University</w:t>
      </w:r>
    </w:p>
    <w:p w:rsidR="00180FE0" w:rsidRDefault="00180FE0" w:rsidP="00180FE0">
      <w:pPr>
        <w:jc w:val="center"/>
        <w:rPr>
          <w:rFonts w:ascii="Times New Roman" w:hAnsi="Times New Roman" w:cs="Times New Roman"/>
          <w:sz w:val="24"/>
          <w:szCs w:val="24"/>
        </w:rPr>
      </w:pPr>
      <w:r>
        <w:rPr>
          <w:rFonts w:ascii="Times New Roman" w:hAnsi="Times New Roman" w:cs="Times New Roman"/>
          <w:sz w:val="24"/>
          <w:szCs w:val="24"/>
        </w:rPr>
        <w:t>Department of Health Professions</w:t>
      </w:r>
    </w:p>
    <w:p w:rsidR="00180FE0" w:rsidRDefault="00180FE0" w:rsidP="00180FE0">
      <w:pPr>
        <w:jc w:val="center"/>
        <w:rPr>
          <w:rFonts w:ascii="Times New Roman" w:hAnsi="Times New Roman" w:cs="Times New Roman"/>
          <w:sz w:val="24"/>
          <w:szCs w:val="24"/>
        </w:rPr>
      </w:pPr>
      <w:r>
        <w:rPr>
          <w:rFonts w:ascii="Times New Roman" w:hAnsi="Times New Roman" w:cs="Times New Roman"/>
          <w:sz w:val="24"/>
          <w:szCs w:val="24"/>
        </w:rPr>
        <w:t>Tahlequah, Oklahoma 74464, USA</w:t>
      </w:r>
    </w:p>
    <w:p w:rsidR="00180FE0" w:rsidRDefault="00180FE0" w:rsidP="00180FE0">
      <w:pPr>
        <w:rPr>
          <w:rFonts w:ascii="Times New Roman" w:hAnsi="Times New Roman" w:cs="Times New Roman"/>
          <w:sz w:val="24"/>
          <w:szCs w:val="24"/>
        </w:rPr>
      </w:pPr>
    </w:p>
    <w:p w:rsidR="00180FE0" w:rsidRPr="00180FE0" w:rsidRDefault="00180FE0" w:rsidP="00180FE0">
      <w:pPr>
        <w:rPr>
          <w:rFonts w:ascii="Times New Roman" w:hAnsi="Times New Roman" w:cs="Times New Roman"/>
          <w:sz w:val="24"/>
          <w:szCs w:val="24"/>
        </w:rPr>
      </w:pPr>
      <w:r>
        <w:rPr>
          <w:rFonts w:ascii="Times New Roman" w:hAnsi="Times New Roman" w:cs="Times New Roman"/>
          <w:sz w:val="24"/>
          <w:szCs w:val="24"/>
        </w:rPr>
        <w:tab/>
        <w:t xml:space="preserve">Maternal cradling bias is the act of human females to tend to cradle newborns to the left side in the first few weeks of life.  </w:t>
      </w:r>
      <w:r w:rsidR="00AA7F68">
        <w:rPr>
          <w:rFonts w:ascii="Times New Roman" w:hAnsi="Times New Roman" w:cs="Times New Roman"/>
          <w:sz w:val="24"/>
          <w:szCs w:val="24"/>
        </w:rPr>
        <w:t xml:space="preserve">Many factors contributing to the occurrence of leftward cradling bias have been explored including handedness and hemispheric dominance </w:t>
      </w:r>
      <w:r w:rsidR="00AA7F68">
        <w:rPr>
          <w:rFonts w:ascii="Times New Roman" w:hAnsi="Times New Roman" w:cs="Times New Roman"/>
          <w:sz w:val="24"/>
          <w:szCs w:val="24"/>
        </w:rPr>
        <w:fldChar w:fldCharType="begin"/>
      </w:r>
      <w:r w:rsidR="00AA7F68">
        <w:rPr>
          <w:rFonts w:ascii="Times New Roman" w:hAnsi="Times New Roman" w:cs="Times New Roman"/>
          <w:sz w:val="24"/>
          <w:szCs w:val="24"/>
        </w:rPr>
        <w:instrText xml:space="preserve"> ADDIN ZOTERO_ITEM CSL_CITATION {"citationID":"22fuo4usaj","properties":{"formattedCitation":"(van der Meer &amp; Husby, 2006)","plainCitation":"(van der Meer &amp; Husby, 2006)"},"citationItems":[{"id":287,"uris":["http://zotero.org/users/2023721/items/KSQMG9NA"],"uri":["http://zotero.org/users/2023721/items/KSQMG9NA"],"itemData":{"id":287,"type":"article-journal","title":"Handedness as a major determinant of functional cradling bias.","container-title":"Laterality","page":"263-276","volume":"11","issue":"3","source":"EBSCOhost","archive":"aph","abstract":"Cradling is an interactive activity, involving a manual component that is very often an integral part of cradling. Cradling, while doing something else with the free hand, is referred to here as functional cradling. This study examined the relationship between a person's handedness and what arm he or she prefers to use when functionally cradling a baby doll that resembles a newborn infant. A total of 765 participants took part in the experiment, 403 women and 362 men, between the ages of 4 and 86 years. Left- and mixed-handers were actively recruited. The sample consisted of 64.3% right-handed, 24.7% mixed-handed, and 11.0% left-handed participants. The results showed a clear tendency for participants to cradle in their non-dominant arm ( p .001). Furthermore, this tendency increased with age and it was present in both sexes, although significantly stronger in women than in men. On the other hand, experience with young children through younger siblings and/or being a parent did not increase the likelihood to cradle in the non-dominant arm. It is concluded that humans have a clear functional cradling preference for the non-dominant arm because this enables the dominant arm to engage in other tasks. This might also explain why previous studies have reported a universal left cradling bias because a right-handed majority (intuitively) keeps the dominant hand free when cradling. [ABSTRACT FROM AUTHOR]","ISSN":"1357650X","journalAbbreviation":"Laterality","author":[{"family":"Meer","given":"Audrey","non-dropping-particle":"van der"},{"family":"Husby","given":"Åsmund"}],"issued":{"date-parts":[["2006",5]]}},"label":"page"}],"schema":"https://github.com/citation-style-language/schema/raw/master/csl-citation.json"} </w:instrText>
      </w:r>
      <w:r w:rsidR="00AA7F68">
        <w:rPr>
          <w:rFonts w:ascii="Times New Roman" w:hAnsi="Times New Roman" w:cs="Times New Roman"/>
          <w:sz w:val="24"/>
          <w:szCs w:val="24"/>
        </w:rPr>
        <w:fldChar w:fldCharType="separate"/>
      </w:r>
      <w:r w:rsidR="00AA7F68" w:rsidRPr="00AA7F68">
        <w:rPr>
          <w:rFonts w:ascii="Times New Roman" w:hAnsi="Times New Roman" w:cs="Times New Roman"/>
          <w:sz w:val="24"/>
        </w:rPr>
        <w:t xml:space="preserve">(van der Meer &amp; </w:t>
      </w:r>
      <w:proofErr w:type="spellStart"/>
      <w:r w:rsidR="00AA7F68" w:rsidRPr="00AA7F68">
        <w:rPr>
          <w:rFonts w:ascii="Times New Roman" w:hAnsi="Times New Roman" w:cs="Times New Roman"/>
          <w:sz w:val="24"/>
        </w:rPr>
        <w:t>Husby</w:t>
      </w:r>
      <w:proofErr w:type="spellEnd"/>
      <w:r w:rsidR="00AA7F68" w:rsidRPr="00AA7F68">
        <w:rPr>
          <w:rFonts w:ascii="Times New Roman" w:hAnsi="Times New Roman" w:cs="Times New Roman"/>
          <w:sz w:val="24"/>
        </w:rPr>
        <w:t>, 2006)</w:t>
      </w:r>
      <w:r w:rsidR="00AA7F68">
        <w:rPr>
          <w:rFonts w:ascii="Times New Roman" w:hAnsi="Times New Roman" w:cs="Times New Roman"/>
          <w:sz w:val="24"/>
          <w:szCs w:val="24"/>
        </w:rPr>
        <w:fldChar w:fldCharType="end"/>
      </w:r>
      <w:r w:rsidR="0003768C">
        <w:rPr>
          <w:rFonts w:ascii="Times New Roman" w:hAnsi="Times New Roman" w:cs="Times New Roman"/>
          <w:sz w:val="24"/>
          <w:szCs w:val="24"/>
        </w:rPr>
        <w:t xml:space="preserve">, neural development in neonates </w:t>
      </w:r>
      <w:r w:rsidR="0003768C">
        <w:rPr>
          <w:rFonts w:ascii="Times New Roman" w:hAnsi="Times New Roman" w:cs="Times New Roman"/>
          <w:sz w:val="24"/>
          <w:szCs w:val="24"/>
        </w:rPr>
        <w:fldChar w:fldCharType="begin"/>
      </w:r>
      <w:r w:rsidR="00D45735">
        <w:rPr>
          <w:rFonts w:ascii="Times New Roman" w:hAnsi="Times New Roman" w:cs="Times New Roman"/>
          <w:sz w:val="24"/>
          <w:szCs w:val="24"/>
        </w:rPr>
        <w:instrText xml:space="preserve"> ADDIN ZOTERO_ITEM CSL_CITATION {"citationID":"4CajHSy3","properties":{"formattedCitation":"(Wan et al., 2014; Young, 2002)","plainCitation":"(Wan et al., 2014; Young, 2002)"},"citationItems":[{"id":235,"uris":["http://zotero.org/users/2023721/items/K4GACWKS"],"uri":["http://zotero.org/users/2023721/items/K4GACWKS"],"itemData":{"id":235,"type":"article-journal","title":"The Neural Basis of Maternal Bonding.","container-title":"PLoS ONE","page":"1-10","volume":"9","issue":"3","source":"EBSCOhost","archive":"afh","abstract":"Background: Accumulating evidence suggests that mothers show a different pattern of brain responses when viewing their own compared to other infants. However, there is inconsistency across functional imaging studies regarding the key areas involved, and none have examined relationships between brain and behavioural responses to infants. We examined the brain regions activated when mothers viewed videos of their own infant contrasted with an unknown infant, and whether these are associated with behavioural and self-reported measures of mother-infant relations. Method: Twenty right-handed mothers viewed alternating 30-sec blocks of video of own 4–9 month infant and an unfamiliar matched infant, interspersed with neutral video. Whole brain functional magnetic resonance images (fMRI) were acquired on a 1.5T Philips Intera scanner using a TR of 2.55 s. Videotaped mother-infant interactions were systematically evaluated blind to family information to generate behavioural measures for correlational analysis. Results: Enhanced blood oxygenation functional imaging responses were found in the own versus unknown infant contrast in the bilateral precuneus, right superior temporal gyrus, right medial and left middle frontal gyri and left amygdala. Positive mother-infant interaction (less directive parent behaviour; more positive/attentive infant behaviour) was significantly associated with greater activation in several regions on viewing own versus unknown infant, particularly the middle frontal gyrus. Mothers' perceived warmth of her infant was correlated with activations in the same contrast, particularly in sensory and visual areas. Conclusion: This study partially replicates previous reports of the brain regions activated in mothers in response to the visual presentation of their own infant. It is the first to report associations between mothers' unique neural responses to viewing their own infant with the quality of her concurrent behaviour when interacting with her infant and with her perceptions of infant warmth. These findings provide support for developing fMRI as a potential biomarker of parenting risk and change. [ABSTRACT FROM AUTHOR]","ISSN":"19326203","journalAbbreviation":"PLoS ONE","author":[{"family":"Wan","given":"Ming Wai"},{"family":"Downey","given":"Darragh"},{"family":"Strachan","given":"Hilary"},{"family":"Elliott","given":"Rebecca"},{"family":"Williams","given":"Steve R."},{"family":"Abel","given":"Kathryn M."}],"issued":{"date-parts":[["2014",3]]}}},{"id":225,"uris":["http://zotero.org/users/2023721/items/SSJJD2I5"],"uri":["http://zotero.org/users/2023721/items/SSJJD2I5"],"itemData":{"id":225,"type":"chapter","title":"The cradle of adaptation: Models describing the experience-responsive development of neural structure and adaptive capacities in infancy and early childhood.","container-title":"The infant and family in the twenty-first century.","publisher":"Brunner-Routledge","publisher-place":"New York, NY, US","page":"269-298","source":"EBSCOhost","archive":"psyh","archive_location":"2003-02241-015","event-place":"New York, NY, US","abstract":"Presents a model for the formation of primary memory prototypes in infancy and early childhood involving experience, attachment, and adaptive capacities. The following topics are discussed: (1) Forming and tuning neural circuits through predictive signal mapping (candidate stimuli, processing units, and categorization); (2) Learning the language of emotions: Predictive signal mapping guiding the development of emotional language (emotion, language, and social cognition, the attachment situation, learning emotional languages, ambiguities due to the use of multiple emotional language dictionaries, and parallel structures of conventional spoken language and emotional language); (3) An expanded model for attachment functions: The regulation of infant experiential learning and primary memory prototype formation during synaptogenesis and other developmental processes (regulating infant state, motivation, and attention to predictive stimuli, the attachment situation as a standard reference system for learning, enhancing maternal well-being and the mother's capacities for regulating infant state and learning, and the development of loving attachments and social understanding). (PsycINFO Database Record (c) 2016 APA, all rights reserved)","URL":"http://search.ebscohost.com/login.aspx?direct=true&amp;db=psyh&amp;AN=2003-02241-015&amp;site=ehost-live","ISBN":"0-415-93391-9","author":[{"family":"Young","given":"J. Gerald"}],"editor":[{"family":"Gomes-Pedro","given":"João"},{"family":"Nugent","given":"J. Kevin"},{"family":"Young","given":"J. Gerald"},{"family":"Brazelton","given":"T. Berry"},{"family":"Gomes-Pedro","given":"João","suffix":"(Ed)"},{"family":"Nugent","given":"J. Kevin","suffix":"(Ed)"},{"family":"Young","given":"J. Gerald","suffix":"(Ed)"},{"family":"Brazelton","given":"T. Berry","suffix":"(Ed)"}],"issued":{"date-parts":[["2002"]]}}}],"schema":"https://github.com/citation-style-language/schema/raw/master/csl-citation.json"} </w:instrText>
      </w:r>
      <w:r w:rsidR="0003768C">
        <w:rPr>
          <w:rFonts w:ascii="Times New Roman" w:hAnsi="Times New Roman" w:cs="Times New Roman"/>
          <w:sz w:val="24"/>
          <w:szCs w:val="24"/>
        </w:rPr>
        <w:fldChar w:fldCharType="separate"/>
      </w:r>
      <w:r w:rsidR="00D45735" w:rsidRPr="00D45735">
        <w:rPr>
          <w:rFonts w:ascii="Times New Roman" w:hAnsi="Times New Roman" w:cs="Times New Roman"/>
          <w:sz w:val="24"/>
        </w:rPr>
        <w:t>(Wan et al., 2014; Young, 2002)</w:t>
      </w:r>
      <w:r w:rsidR="0003768C">
        <w:rPr>
          <w:rFonts w:ascii="Times New Roman" w:hAnsi="Times New Roman" w:cs="Times New Roman"/>
          <w:sz w:val="24"/>
          <w:szCs w:val="24"/>
        </w:rPr>
        <w:fldChar w:fldCharType="end"/>
      </w:r>
      <w:r w:rsidR="0003768C">
        <w:rPr>
          <w:rFonts w:ascii="Times New Roman" w:hAnsi="Times New Roman" w:cs="Times New Roman"/>
          <w:sz w:val="24"/>
          <w:szCs w:val="24"/>
        </w:rPr>
        <w:t xml:space="preserve">, breast-feeding influences </w:t>
      </w:r>
      <w:r w:rsidR="0003768C">
        <w:rPr>
          <w:rFonts w:ascii="Times New Roman" w:hAnsi="Times New Roman" w:cs="Times New Roman"/>
          <w:sz w:val="24"/>
          <w:szCs w:val="24"/>
        </w:rPr>
        <w:fldChar w:fldCharType="begin"/>
      </w:r>
      <w:r w:rsidR="0003768C">
        <w:rPr>
          <w:rFonts w:ascii="Times New Roman" w:hAnsi="Times New Roman" w:cs="Times New Roman"/>
          <w:sz w:val="24"/>
          <w:szCs w:val="24"/>
        </w:rPr>
        <w:instrText xml:space="preserve"> ADDIN ZOTERO_ITEM CSL_CITATION {"citationID":"25fan43g0r","properties":{"formattedCitation":"{\\rtf (Donnot, Vauclair, &amp; Br\\uc0\\u233{}jard, 2008)}","plainCitation":"(Donnot, Vauclair, &amp; Bréjard, 2008)"},"citationItems":[{"id":245,"uris":["http://zotero.org/users/2023721/items/HEVDX4JK"],"uri":["http://zotero.org/users/2023721/items/HEVDX4JK"],"itemData":{"id":245,"type":"article-journal","title":"Newborn right-holding is related to depressive symptoms in bottle-feeding mothers but not in breastfeeding mothers.","container-title":"Infant Behavior &amp; Development","page":"352-360","volume":"31","issue":"3","source":"EBSCOhost","archive":"cmedm","archive_location":"18279969","abstract":"This study examines the relationships between infant holding preferences and maternal depression according to the newborn feeding mode. Links between depression and infant holding biases have been observed in mothers [Vauclair, J., Scola, C. (in press). Dépression, alexithymie et latéralisation dans la façon de porter un nouveau-né [Infant holding biases in relation to depression, alexithymia and laterality]. Annales Médico-psychologiques; Weatherill, R. P., Almerigi, J. B., Levendosky, A. A., Bogat, G. A., von Eye, A., &amp; Harris, L. J. (2004). Is maternal depression related to side of infant holding? International Journal of Behavioral Development, 28, 421-427] but the fact that breastfeeding has never been studied in relation to these two factors is surprising as breastfeeding has some influence on depression (e.g., [Mezzacappa, E. S., Guethlein, W., Vaz, N., &amp; Bagiella, E. (2000). A preliminary study of breast-feeding and maternal symptomatology. Annals of Behavioral Medicine, 22, 71-79]) and must also affect holding biases. Mothers who just gave birth (N=100) were tested few days after delivery. Measures of handedness, infant holding-side preferences, and level of depressive symptoms expressed by mothers (assessed with the CES-D scale) were collected via questionnaires. Asymmetries in emotional perception were assessed via a Chimeric Figure Task and a Dichotic Listening Task. Results showed that breastfeeding (1) reduced left-side bias for holding newborns and (2) was associated with lowest levels of depressive symptoms. Moreover, holding biases were related to maternal depression in bottle-feeding but not in breastfeeding mothers, namely that holding on the right-side while bottle-feeding was associated with higher levels of depressive symptoms. These results were not due to hemispheric specialization as auditory and visual asymmetries were similar between breastfeeding and bottle-feeding mothers. The discussion emphasizes the striking role of the early mother/child relationship's establishment on infant holding biases.;","DOI":"10.1016/j.infbeh.2007.12.013","ISSN":"1934-8800","journalAbbreviation":"Infant Behavior &amp; Development","author":[{"family":"Donnot","given":"Julien"},{"family":"Vauclair","given":"Jacques"},{"family":"Bréjard","given":"Vincent"}],"issued":{"date-parts":[["2008",9]]}}}],"schema":"https://github.com/citation-style-language/schema/raw/master/csl-citation.json"} </w:instrText>
      </w:r>
      <w:r w:rsidR="0003768C">
        <w:rPr>
          <w:rFonts w:ascii="Times New Roman" w:hAnsi="Times New Roman" w:cs="Times New Roman"/>
          <w:sz w:val="24"/>
          <w:szCs w:val="24"/>
        </w:rPr>
        <w:fldChar w:fldCharType="separate"/>
      </w:r>
      <w:r w:rsidR="0003768C" w:rsidRPr="0003768C">
        <w:rPr>
          <w:rFonts w:ascii="Times New Roman" w:hAnsi="Times New Roman" w:cs="Times New Roman"/>
          <w:sz w:val="24"/>
          <w:szCs w:val="24"/>
        </w:rPr>
        <w:t>(</w:t>
      </w:r>
      <w:proofErr w:type="spellStart"/>
      <w:r w:rsidR="0003768C" w:rsidRPr="0003768C">
        <w:rPr>
          <w:rFonts w:ascii="Times New Roman" w:hAnsi="Times New Roman" w:cs="Times New Roman"/>
          <w:sz w:val="24"/>
          <w:szCs w:val="24"/>
        </w:rPr>
        <w:t>Donnot</w:t>
      </w:r>
      <w:proofErr w:type="spellEnd"/>
      <w:r w:rsidR="0003768C" w:rsidRPr="0003768C">
        <w:rPr>
          <w:rFonts w:ascii="Times New Roman" w:hAnsi="Times New Roman" w:cs="Times New Roman"/>
          <w:sz w:val="24"/>
          <w:szCs w:val="24"/>
        </w:rPr>
        <w:t xml:space="preserve">, </w:t>
      </w:r>
      <w:proofErr w:type="spellStart"/>
      <w:r w:rsidR="0003768C" w:rsidRPr="0003768C">
        <w:rPr>
          <w:rFonts w:ascii="Times New Roman" w:hAnsi="Times New Roman" w:cs="Times New Roman"/>
          <w:sz w:val="24"/>
          <w:szCs w:val="24"/>
        </w:rPr>
        <w:t>Vauclair</w:t>
      </w:r>
      <w:proofErr w:type="spellEnd"/>
      <w:r w:rsidR="0003768C" w:rsidRPr="0003768C">
        <w:rPr>
          <w:rFonts w:ascii="Times New Roman" w:hAnsi="Times New Roman" w:cs="Times New Roman"/>
          <w:sz w:val="24"/>
          <w:szCs w:val="24"/>
        </w:rPr>
        <w:t xml:space="preserve">, &amp; </w:t>
      </w:r>
      <w:proofErr w:type="spellStart"/>
      <w:r w:rsidR="0003768C" w:rsidRPr="0003768C">
        <w:rPr>
          <w:rFonts w:ascii="Times New Roman" w:hAnsi="Times New Roman" w:cs="Times New Roman"/>
          <w:sz w:val="24"/>
          <w:szCs w:val="24"/>
        </w:rPr>
        <w:t>Bréjard</w:t>
      </w:r>
      <w:proofErr w:type="spellEnd"/>
      <w:r w:rsidR="0003768C" w:rsidRPr="0003768C">
        <w:rPr>
          <w:rFonts w:ascii="Times New Roman" w:hAnsi="Times New Roman" w:cs="Times New Roman"/>
          <w:sz w:val="24"/>
          <w:szCs w:val="24"/>
        </w:rPr>
        <w:t>, 2008)</w:t>
      </w:r>
      <w:r w:rsidR="0003768C">
        <w:rPr>
          <w:rFonts w:ascii="Times New Roman" w:hAnsi="Times New Roman" w:cs="Times New Roman"/>
          <w:sz w:val="24"/>
          <w:szCs w:val="24"/>
        </w:rPr>
        <w:fldChar w:fldCharType="end"/>
      </w:r>
      <w:r w:rsidR="00D45735">
        <w:rPr>
          <w:rFonts w:ascii="Times New Roman" w:hAnsi="Times New Roman" w:cs="Times New Roman"/>
          <w:sz w:val="24"/>
          <w:szCs w:val="24"/>
        </w:rPr>
        <w:t xml:space="preserve"> and early communicative acts</w:t>
      </w:r>
      <w:r w:rsidR="00D45735">
        <w:rPr>
          <w:rFonts w:ascii="Times New Roman" w:hAnsi="Times New Roman" w:cs="Times New Roman"/>
          <w:sz w:val="24"/>
          <w:szCs w:val="24"/>
        </w:rPr>
        <w:fldChar w:fldCharType="begin"/>
      </w:r>
      <w:r w:rsidR="00D45735">
        <w:rPr>
          <w:rFonts w:ascii="Times New Roman" w:hAnsi="Times New Roman" w:cs="Times New Roman"/>
          <w:sz w:val="24"/>
          <w:szCs w:val="24"/>
        </w:rPr>
        <w:instrText xml:space="preserve"> ADDIN ZOTERO_ITEM CSL_CITATION {"citationID":"wQPCVhKc","properties":{"formattedCitation":"(Abdulrazzaq, Kendi, &amp; Nagelkerke, 2009; Bicking Kinsey &amp; Hupcey, 2013; Henry, Richard-Yris, Tordjman, &amp; Hausberger, 2009)","plainCitation":"(Abdulrazzaq, Kendi, &amp; Nagelkerke, 2009; Bicking Kinsey &amp; Hupcey, 2013; Henry, Richard-Yris, Tordjman, &amp; Hausberger, 2009)"},"citationItems":[{"id":311,"uris":["http://zotero.org/users/2023721/items/V5BKFMWQ"],"uri":["http://zotero.org/users/2023721/items/V5BKFMWQ"],"itemData":{"id":311,"type":"article-journal","title":"Soothing methods used to calm a baby in an Arab country.","container-title":"Acta Paediatrica","page":"392-396","volume":"98","issue":"2","source":"EBSCOhost","archive":"afh","abstract":"This study was undertaken to determine how mothers soothed their crying infants. A total of 1137 mothers of different cultural backgrounds were approached, 998 agreed to participate in the study, but only 716 completed the questionnaire through a telephone interview. Analysis was restricted to 702 mothers from the UAE nationality, other Arabs, other Muslims, Indians and Philippinos. The questionnaire contained 23 questions on different soothing methods. The most common soothing method was breast-feeding (99.1%), followed by holding and carrying the infant (96.9%), letting infant suck on his thumb or finger (87.3%), herbal tea (65%), night bottle (42.1%) and swaddling infant (19.5%). Over 90% of mothers of all nationalities, preferred not to use pacifiers. Soothing herbs were often used, with the commonest being anise (165 mothers used anise). Fennel tea was also used by a substantial number of mothers (75), with gripe water (64), cumin (33), chamomile (32), mint (22) and fenugreek (16) making up most of the rest. Conclusion: Mothers' ethnicity and nationality strongly impacted on the soothing methods used, with Arabs more often using herbal tea, prone positioning and swaddling to calm infants and illustrate the importance of culture in the upbringing of children from a very early age. [ABSTRACT FROM AUTHOR]","ISSN":"08035253","journalAbbreviation":"Acta Paediatrica","author":[{"family":"Abdulrazzaq","given":"Yousef Mohamed"},{"family":"Kendi","given":"Asma Al"},{"family":"Nagelkerke","given":"Nicolaas"}],"issued":{"date-parts":[["2009",2]]}},"label":"page"},{"id":233,"uris":["http://zotero.org/users/2023721/items/VWZFVUP2"],"uri":["http://zotero.org/users/2023721/items/VWZFVUP2"],"itemData":{"id":233,"type":"article-journal","title":"State of the science of maternal-infant bonding: A principle-based concept analysis.","container-title":"Midwifery","page":"1314-1320","volume":"29","issue":"12","source":"EBSCOhost","archive":"ccm","abstract":"Objective: to provide a principle-based analysis of the concept of maternal-infant bonding. Design: principle-based method of concept analysis for which the data set included 44 articles published in the last decade from Pubmed, CINAHL, and PyschINFO/PsychARTICLES. Setting: literature inclusion criteria were English language, articles published in the last decade, peer-reviewed journal articles and commentary on published work, and human populations. Measurement and findings: after a brief review of the history of maternal-infant bonding, a principle-based concept analysis was completed to examine the state of the science with regard to this concept. The concept was critically examined according to the clarity of definition (epistemological principle), applicability of the concept (pragmatic principle), consistency in use and meaning (linguistic principle), and differentiation of the concept from related concepts (logical principle). Analysis of the concept revealed: (1) Maternal-infant bonding describes maternal feelings and emotions towards her infant. Evidence that the concept encompasses behavioural or biological components was limited. (2) The concept is clearly operationalised in the affective domain. (3) Maternal-infant bonding is linguistically confused with attachment, although the boundaries between the concepts are clearly delineated. Key conclusion: despite widespread use of the concept, maternal-infant bonding is at times superficially developed and subject to confusion with related concepts. Concept clarification is warranted. A theoretical definition of the concept of maternal-infant bonding was developed to aid in the clarification, but more research is necessary to further clarify and advance the concept. Implications for practice: nurse midwives and other practitioners should use the theoretical definition of maternal-infant bonding as a preliminary guide to identification and understanding of the concept in clinical practice.","DOI":"10.1016/j.midw.2012.12.019","ISSN":"0266-6138","journalAbbreviation":"Midwifery","author":[{"family":"Bicking Kinsey","given":"Cara"},{"family":"Hupcey","given":"Judith E."}],"issued":{"date-parts":[["2013",12]]}},"label":"page"},{"id":262,"uris":["http://zotero.org/users/2023721/items/EF3VC5NW"],"uri":["http://zotero.org/users/2023721/items/EF3VC5NW"],"itemData":{"id":262,"type":"article-journal","title":"Neonatal Handling Affects Durably Bonding and Social Development.","container-title":"PLoS ONE","page":"1-9","volume":"4","issue":"4","source":"EBSCOhost","archive":"afh","abstract":"The neonatal period in humans and in most mammals is characterized by intense mother-young interactions favoring pair bonding and the adaptation of neonates to their new environment. However, in many post-delivery procedures, human babies commonly experience combined maternal separation and intense handling for about one hour post-birth. Currently, the effects of such disturbances on later attachment and on the development of newborns are still debated: clearly, further investigations are required. As animals present good models for controlled experimentation, we chose domestic horses to investigate this issue. Horses, like humans, are characterized by single births, long lactating periods and selective motherinfant bonds. Routine postnatal procedures for foals, as for human babies, also involve intense handling and maternal separation. In the present study, we monitored the behavior of foals from early stages of development to ''adolescence'', in a normal ecological context (social groups with adults and peers). Experimental foals, separated from their mothers and handled for only 1 hour post-birth, were compared to control foals, left undisturbed after birth. Our results revealed short- and long-term effects of this unique neonatal experience on attachment and subsequent social competences. Thus, experimental foals presented patterns of insecure attachment to their mothers (strong dependence on their mothers, little play) and impaired social competences (social withdrawal, aggressiveness) at all ages. We discuss these results in terms of mother-young interactions, timing of interactions and relationships between bonding and subsequent social competences. Our results indicate that this ungulate species could become an interesting animal model. To our knowledge, this is the first clear demonstration that intervention just after birth affects bonding and subsequent social competences (at least until ''adolescence''). It opens new research directions for studies on both humans and other animals. [ABSTRACT FROM AUTHOR]","ISSN":"19326203","journalAbbreviation":"PLoS ONE","author":[{"family":"Henry","given":"Séverine"},{"family":"Richard-Yris","given":"Marie-Annick"},{"family":"Tordjman","given":"Sylvie"},{"family":"Hausberger","given":"Martine"}],"issued":{"date-parts":[["2009",4]]}},"label":"page"}],"schema":"https://github.com/citation-style-language/schema/raw/master/csl-citation.json"} </w:instrText>
      </w:r>
      <w:r w:rsidR="00D45735">
        <w:rPr>
          <w:rFonts w:ascii="Times New Roman" w:hAnsi="Times New Roman" w:cs="Times New Roman"/>
          <w:sz w:val="24"/>
          <w:szCs w:val="24"/>
        </w:rPr>
        <w:fldChar w:fldCharType="separate"/>
      </w:r>
      <w:bookmarkStart w:id="0" w:name="_GoBack"/>
      <w:bookmarkEnd w:id="0"/>
      <w:r w:rsidR="00D45735" w:rsidRPr="00D45735">
        <w:rPr>
          <w:rFonts w:ascii="Times New Roman" w:hAnsi="Times New Roman" w:cs="Times New Roman"/>
          <w:sz w:val="24"/>
        </w:rPr>
        <w:t>(</w:t>
      </w:r>
      <w:proofErr w:type="spellStart"/>
      <w:r w:rsidR="00D45735" w:rsidRPr="00D45735">
        <w:rPr>
          <w:rFonts w:ascii="Times New Roman" w:hAnsi="Times New Roman" w:cs="Times New Roman"/>
          <w:sz w:val="24"/>
        </w:rPr>
        <w:t>Abdulrazzaq</w:t>
      </w:r>
      <w:proofErr w:type="spellEnd"/>
      <w:r w:rsidR="00D45735" w:rsidRPr="00D45735">
        <w:rPr>
          <w:rFonts w:ascii="Times New Roman" w:hAnsi="Times New Roman" w:cs="Times New Roman"/>
          <w:sz w:val="24"/>
        </w:rPr>
        <w:t xml:space="preserve">, </w:t>
      </w:r>
      <w:proofErr w:type="spellStart"/>
      <w:r w:rsidR="00D45735" w:rsidRPr="00D45735">
        <w:rPr>
          <w:rFonts w:ascii="Times New Roman" w:hAnsi="Times New Roman" w:cs="Times New Roman"/>
          <w:sz w:val="24"/>
        </w:rPr>
        <w:t>Kendi</w:t>
      </w:r>
      <w:proofErr w:type="spellEnd"/>
      <w:r w:rsidR="00D45735" w:rsidRPr="00D45735">
        <w:rPr>
          <w:rFonts w:ascii="Times New Roman" w:hAnsi="Times New Roman" w:cs="Times New Roman"/>
          <w:sz w:val="24"/>
        </w:rPr>
        <w:t xml:space="preserve">, &amp; </w:t>
      </w:r>
      <w:proofErr w:type="spellStart"/>
      <w:r w:rsidR="00D45735" w:rsidRPr="00D45735">
        <w:rPr>
          <w:rFonts w:ascii="Times New Roman" w:hAnsi="Times New Roman" w:cs="Times New Roman"/>
          <w:sz w:val="24"/>
        </w:rPr>
        <w:t>Nagelkerke</w:t>
      </w:r>
      <w:proofErr w:type="spellEnd"/>
      <w:r w:rsidR="00D45735" w:rsidRPr="00D45735">
        <w:rPr>
          <w:rFonts w:ascii="Times New Roman" w:hAnsi="Times New Roman" w:cs="Times New Roman"/>
          <w:sz w:val="24"/>
        </w:rPr>
        <w:t xml:space="preserve">, 2009; </w:t>
      </w:r>
      <w:proofErr w:type="spellStart"/>
      <w:r w:rsidR="00D45735" w:rsidRPr="00D45735">
        <w:rPr>
          <w:rFonts w:ascii="Times New Roman" w:hAnsi="Times New Roman" w:cs="Times New Roman"/>
          <w:sz w:val="24"/>
        </w:rPr>
        <w:t>Bicking</w:t>
      </w:r>
      <w:proofErr w:type="spellEnd"/>
      <w:r w:rsidR="00D45735" w:rsidRPr="00D45735">
        <w:rPr>
          <w:rFonts w:ascii="Times New Roman" w:hAnsi="Times New Roman" w:cs="Times New Roman"/>
          <w:sz w:val="24"/>
        </w:rPr>
        <w:t xml:space="preserve"> Kinsey &amp; </w:t>
      </w:r>
      <w:proofErr w:type="spellStart"/>
      <w:r w:rsidR="00D45735" w:rsidRPr="00D45735">
        <w:rPr>
          <w:rFonts w:ascii="Times New Roman" w:hAnsi="Times New Roman" w:cs="Times New Roman"/>
          <w:sz w:val="24"/>
        </w:rPr>
        <w:t>Hupcey</w:t>
      </w:r>
      <w:proofErr w:type="spellEnd"/>
      <w:r w:rsidR="00D45735" w:rsidRPr="00D45735">
        <w:rPr>
          <w:rFonts w:ascii="Times New Roman" w:hAnsi="Times New Roman" w:cs="Times New Roman"/>
          <w:sz w:val="24"/>
        </w:rPr>
        <w:t>, 2013; Henry, Richard-</w:t>
      </w:r>
      <w:proofErr w:type="spellStart"/>
      <w:r w:rsidR="00D45735" w:rsidRPr="00D45735">
        <w:rPr>
          <w:rFonts w:ascii="Times New Roman" w:hAnsi="Times New Roman" w:cs="Times New Roman"/>
          <w:sz w:val="24"/>
        </w:rPr>
        <w:t>Yris</w:t>
      </w:r>
      <w:proofErr w:type="spellEnd"/>
      <w:r w:rsidR="00D45735" w:rsidRPr="00D45735">
        <w:rPr>
          <w:rFonts w:ascii="Times New Roman" w:hAnsi="Times New Roman" w:cs="Times New Roman"/>
          <w:sz w:val="24"/>
        </w:rPr>
        <w:t xml:space="preserve">, </w:t>
      </w:r>
      <w:proofErr w:type="spellStart"/>
      <w:r w:rsidR="00D45735" w:rsidRPr="00D45735">
        <w:rPr>
          <w:rFonts w:ascii="Times New Roman" w:hAnsi="Times New Roman" w:cs="Times New Roman"/>
          <w:sz w:val="24"/>
        </w:rPr>
        <w:t>Tordjman</w:t>
      </w:r>
      <w:proofErr w:type="spellEnd"/>
      <w:r w:rsidR="00D45735" w:rsidRPr="00D45735">
        <w:rPr>
          <w:rFonts w:ascii="Times New Roman" w:hAnsi="Times New Roman" w:cs="Times New Roman"/>
          <w:sz w:val="24"/>
        </w:rPr>
        <w:t xml:space="preserve">, &amp; </w:t>
      </w:r>
      <w:proofErr w:type="spellStart"/>
      <w:r w:rsidR="00D45735" w:rsidRPr="00D45735">
        <w:rPr>
          <w:rFonts w:ascii="Times New Roman" w:hAnsi="Times New Roman" w:cs="Times New Roman"/>
          <w:sz w:val="24"/>
        </w:rPr>
        <w:t>Hausberger</w:t>
      </w:r>
      <w:proofErr w:type="spellEnd"/>
      <w:r w:rsidR="00D45735" w:rsidRPr="00D45735">
        <w:rPr>
          <w:rFonts w:ascii="Times New Roman" w:hAnsi="Times New Roman" w:cs="Times New Roman"/>
          <w:sz w:val="24"/>
        </w:rPr>
        <w:t>, 2009)</w:t>
      </w:r>
      <w:r w:rsidR="00D45735">
        <w:rPr>
          <w:rFonts w:ascii="Times New Roman" w:hAnsi="Times New Roman" w:cs="Times New Roman"/>
          <w:sz w:val="24"/>
          <w:szCs w:val="24"/>
        </w:rPr>
        <w:fldChar w:fldCharType="end"/>
      </w:r>
      <w:r w:rsidR="0003768C">
        <w:rPr>
          <w:rFonts w:ascii="Times New Roman" w:hAnsi="Times New Roman" w:cs="Times New Roman"/>
          <w:sz w:val="24"/>
          <w:szCs w:val="24"/>
        </w:rPr>
        <w:t xml:space="preserve">. Accepted best practices for developmental support for premature infants incorporate positioning and holding neonates in their protocols </w:t>
      </w:r>
      <w:r w:rsidR="0003768C">
        <w:rPr>
          <w:rFonts w:ascii="Times New Roman" w:hAnsi="Times New Roman" w:cs="Times New Roman"/>
          <w:sz w:val="24"/>
          <w:szCs w:val="24"/>
        </w:rPr>
        <w:fldChar w:fldCharType="begin"/>
      </w:r>
      <w:r w:rsidR="0003768C">
        <w:rPr>
          <w:rFonts w:ascii="Times New Roman" w:hAnsi="Times New Roman" w:cs="Times New Roman"/>
          <w:sz w:val="24"/>
          <w:szCs w:val="24"/>
        </w:rPr>
        <w:instrText xml:space="preserve"> ADDIN ZOTERO_ITEM CSL_CITATION {"citationID":"2gv9t480vo","properties":{"formattedCitation":"(Hamelin &amp; Ramachandran, 1993; Hane et al., 2015)","plainCitation":"(Hamelin &amp; Ramachandran, 1993; Hane et al., 2015)"},"citationItems":[{"id":260,"uris":["http://zotero.org/users/2023721/items/TUU6QPDS"],"uri":["http://zotero.org/users/2023721/items/TUU6QPDS"],"itemData":{"id":260,"type":"article-journal","title":"Kangroo care","container-title":"The Canadian Nurse","page":"15-17","volume":"89","issue":"6","abstract":"Kangaroo care is the practice of holding a small, premature infant, naked except for a diaper and hat, against a parent's chest. This skin-to-skin contact resembles how marsupials such as kangaroos and koalas care for their young. Initially established in overcrowded nurseries in developing countries as a substitute for incubators and monitors, kangaroo care is now practised in the neonatal intensive care units of developed countries.","author":[{"family":"Hamelin","given":"K"},{"family":"Ramachandran","given":"C"}],"issued":{"date-parts":[["1993"]]}},"label":"page"},{"id":249,"uris":["http://zotero.org/users/2023721/items/ZVIMVR4J"],"uri":["http://zotero.org/users/2023721/items/ZVIMVR4J"],"itemData":{"id":249,"type":"article-journal","title":"Family nurture intervention improves the quality of maternal caregiving in the neonatal intensive care unit: evidence from a randomized controlled trial.","container-title":"Journal Of Developmental And Behavioral Pediatrics: JDBP","page":"188-196","volume":"36","issue":"3","source":"EBSCOhost","archive":"cmedm","archive_location":"25757070","abstract":"Objective: This study assessed the impact of Family Nurture Intervention (FNI) on the quality of maternal caregiving behavior (MCB) while in the neonatal intensive care unit (NICU). FNI is a randomized controlled trial conducted in a high-acuity NICU to facilitate an emotional connection between mothers and their premature infants. FNI begins shortly after birth, continues until discharge, and involves mother/infant calming sessions that include scent cloth exchange, vocal soothing and emotion expression, eye contact, skin-to-skin and clothed holding, and family-based support sessions.; Methods: Maternal caregiving behavior was coded during a single holding and feeding session (</w:instrText>
      </w:r>
      <w:r w:rsidR="0003768C">
        <w:rPr>
          <w:rFonts w:ascii="Cambria Math" w:hAnsi="Cambria Math" w:cs="Cambria Math"/>
          <w:sz w:val="24"/>
          <w:szCs w:val="24"/>
        </w:rPr>
        <w:instrText>∼</w:instrText>
      </w:r>
      <w:r w:rsidR="0003768C">
        <w:rPr>
          <w:rFonts w:ascii="Times New Roman" w:hAnsi="Times New Roman" w:cs="Times New Roman"/>
          <w:sz w:val="24"/>
          <w:szCs w:val="24"/>
        </w:rPr>
        <w:instrText xml:space="preserve">30 min) in the NICU before discharge at approximately 36 weeks gestational age (GA). Sixty-five mothers and their premature infants (34 male, 31 female; 26-34 wk GA) were included in these analyses (FNI, n = 35; standard care [SC], n = 30).; Results: Relative to mothers in the SC condition, those in the FNI group showed significantly higher quality MCB, which remained significant when controlling for birth order, twin status, maternal depression, and maternal anxiety.; Conclusion: This is the first study to demonstrate that in-unit MCB can be enhanced by a hospital-based intervention. FNI provides a new rationale for integrating nurture-based interventions into standard NICU care.;","DOI":"10.1097/DBP.0000000000000148","ISSN":"1536-7312","journalAbbreviation":"Journal Of Developmental And Behavioral Pediatrics: JDBP","author":[{"family":"Hane","given":"Amie A"},{"family":"Myers","given":"Michael M"},{"family":"Hofer","given":"Myron A"},{"family":"Ludwig","given":"Robert J"},{"family":"Halperin","given":"Meeka S"},{"family":"Austin","given":"Judy"},{"family":"Glickstein","given":"Sara B"},{"family":"Welch","given":"Martha G"}],"issued":{"date-parts":[["2015",4]]}},"label":"page"}],"schema":"https://github.com/citation-style-language/schema/raw/master/csl-citation.json"} </w:instrText>
      </w:r>
      <w:r w:rsidR="0003768C">
        <w:rPr>
          <w:rFonts w:ascii="Times New Roman" w:hAnsi="Times New Roman" w:cs="Times New Roman"/>
          <w:sz w:val="24"/>
          <w:szCs w:val="24"/>
        </w:rPr>
        <w:fldChar w:fldCharType="separate"/>
      </w:r>
      <w:r w:rsidR="0003768C" w:rsidRPr="0003768C">
        <w:rPr>
          <w:rFonts w:ascii="Times New Roman" w:hAnsi="Times New Roman" w:cs="Times New Roman"/>
          <w:sz w:val="24"/>
        </w:rPr>
        <w:t xml:space="preserve">(Hamelin &amp; Ramachandran, 1993; </w:t>
      </w:r>
      <w:proofErr w:type="spellStart"/>
      <w:r w:rsidR="0003768C" w:rsidRPr="0003768C">
        <w:rPr>
          <w:rFonts w:ascii="Times New Roman" w:hAnsi="Times New Roman" w:cs="Times New Roman"/>
          <w:sz w:val="24"/>
        </w:rPr>
        <w:t>Hane</w:t>
      </w:r>
      <w:proofErr w:type="spellEnd"/>
      <w:r w:rsidR="0003768C" w:rsidRPr="0003768C">
        <w:rPr>
          <w:rFonts w:ascii="Times New Roman" w:hAnsi="Times New Roman" w:cs="Times New Roman"/>
          <w:sz w:val="24"/>
        </w:rPr>
        <w:t xml:space="preserve"> et al., 2015)</w:t>
      </w:r>
      <w:r w:rsidR="0003768C">
        <w:rPr>
          <w:rFonts w:ascii="Times New Roman" w:hAnsi="Times New Roman" w:cs="Times New Roman"/>
          <w:sz w:val="24"/>
          <w:szCs w:val="24"/>
        </w:rPr>
        <w:fldChar w:fldCharType="end"/>
      </w:r>
      <w:r w:rsidR="0003768C">
        <w:rPr>
          <w:rFonts w:ascii="Times New Roman" w:hAnsi="Times New Roman" w:cs="Times New Roman"/>
          <w:sz w:val="24"/>
          <w:szCs w:val="24"/>
        </w:rPr>
        <w:t xml:space="preserve">. </w:t>
      </w:r>
      <w:r>
        <w:rPr>
          <w:rFonts w:ascii="Times New Roman" w:hAnsi="Times New Roman" w:cs="Times New Roman"/>
          <w:sz w:val="24"/>
          <w:szCs w:val="24"/>
        </w:rPr>
        <w:t>Question</w:t>
      </w:r>
      <w:r w:rsidR="00AA7F68">
        <w:rPr>
          <w:rFonts w:ascii="Times New Roman" w:hAnsi="Times New Roman" w:cs="Times New Roman"/>
          <w:sz w:val="24"/>
          <w:szCs w:val="24"/>
        </w:rPr>
        <w:t>s as to</w:t>
      </w:r>
      <w:r>
        <w:rPr>
          <w:rFonts w:ascii="Times New Roman" w:hAnsi="Times New Roman" w:cs="Times New Roman"/>
          <w:sz w:val="24"/>
          <w:szCs w:val="24"/>
        </w:rPr>
        <w:t xml:space="preserve"> what function </w:t>
      </w:r>
      <w:r w:rsidR="0003768C">
        <w:rPr>
          <w:rFonts w:ascii="Times New Roman" w:hAnsi="Times New Roman" w:cs="Times New Roman"/>
          <w:sz w:val="24"/>
          <w:szCs w:val="24"/>
        </w:rPr>
        <w:t>leftward cradling</w:t>
      </w:r>
      <w:r>
        <w:rPr>
          <w:rFonts w:ascii="Times New Roman" w:hAnsi="Times New Roman" w:cs="Times New Roman"/>
          <w:sz w:val="24"/>
          <w:szCs w:val="24"/>
        </w:rPr>
        <w:t xml:space="preserve"> serves and what impact it has on the developmental trajectory of the </w:t>
      </w:r>
      <w:r w:rsidR="00AA7F68">
        <w:rPr>
          <w:rFonts w:ascii="Times New Roman" w:hAnsi="Times New Roman" w:cs="Times New Roman"/>
          <w:sz w:val="24"/>
          <w:szCs w:val="24"/>
        </w:rPr>
        <w:t>infant</w:t>
      </w:r>
      <w:r>
        <w:rPr>
          <w:rFonts w:ascii="Times New Roman" w:hAnsi="Times New Roman" w:cs="Times New Roman"/>
          <w:sz w:val="24"/>
          <w:szCs w:val="24"/>
        </w:rPr>
        <w:t xml:space="preserve"> in the first few weeks of life is the subject of much research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{"citationID":"1fkj40jprd","properties":{"formattedCitation":"(Bourne &amp; Todd, 2004; Ellis, Awang, &amp; Larkin, 2013; Fleva &amp; Khan, 2015; Hopkins, 2004; Huggenberger, Suter, Reijnen, &amp; Schachinger, 2009; Jones, 2014; Saling &amp; Bonert, 1983; Saling &amp; Tyson, 1981; Sieratzki &amp; Woll, 2004; Turnbull &amp; Lucas, 1996; van der Meer &amp; Husby, 2006)","plainCitation":"(Bourne &amp; Todd, 2004; Ellis, Awang, &amp; Larkin, 2013; Fleva &amp; Khan, 2015; Hopkins, 2004; Huggenberger, Suter, Reijnen, &amp; Schachinger, 2009; Jones, 2014; Saling &amp; Bonert, 1983; Saling &amp; Tyson, 1981; Sieratzki &amp; Woll, 2004; Turnbull &amp; Lucas, 1996; van der Meer &amp; Husby, 2006)"},"citationItems":[{"id":272,"uris":["http://zotero.org/users/2023721/items/7KS2JGK2"],"uri":["http://zotero.org/users/2023721/items/7KS2JGK2"],"itemData":{"id":272,"type":"article-journal","title":"When left means right: an explanation of the left cradling bias in terms of right hemisphere specializations.","container-title":"Developmental Science","page":"19-24","volume":"7","issue":"1","source":"EBSCOhost","archive":"cmedm","archive_location":"15323114","abstract":"Previous research has indicated that 70-85% of women and girls show a bias to hold infants, or dolls, to the left side of their body. This bias is not matched in males (e.g. deChateau, Holmberg &amp; Winberg, 1978; Todd, 1995). This study tests an explanation of cradling preferences in terms of hemispheric specialization for the perception of facial emotional expression. Thirty-two right-handed participants were given a behavioural test of lateralization and a cradling task. Females, but not males, who cradled a doll on the left side were found to have significantly higher laterality quotients than right cradlers. Results indicate that women cradle on the side of the body that is contralateral to the hemisphere dominant for face and emotion processing and suggest a possible explanation of gender differences in the incidence of cradling.;","ISSN":"1363-755X","journalAbbreviation":"Developmental Science","author":[{"family":"Bourne","given":"Victoria J"},{"family":"Todd","given":"Brenda K"}],"issued":{"date-parts":[["2004",2]]}},"label":"page"},{"id":295,"uris":["http://zotero.org/users/2023721/items/RDK5RAKF"],"uri":["http://zotero.org/users/2023721/items/RDK5RAKF"],"itemData":{"id":295,"type":"article-journal","title":"Sidedness in Carrying Objects Other than Infants Resembles Sidedness in Infant Cradling: A Two Nation Study of Gender Differences.","container-title":"Journal of Nonverbal Behavior","page":"231-244","volume":"37","issue":"4","source":"EBSCOhost","archive":"ssf","abstract":"Studies have repeatedly documented that 60 to 80 % of adults cradle (or carry) infants on the left side of their bodies. However, very little is known about sidedness tendencies when carrying objects in general. The present naturalistic study examines sidedness among college students as they carried books and other 'academic' objects on campus. Special attention was given to sidedness biases in the use of a cradling-like carrying style. Over 2,500 observations were made of non-infant object carrying by college students in Malaysia and the United States. In both countries, females used a cradling-like carrying style much more than did males, while males predominantly carried books beside the hip. Regarding sidedness, there were significant left sided biases in the use of a cradling-like style by females in both countries and by males in Malaysia. Other sidedness differences in object carrying were also found. The left sided bias in infant carrying documented in other studies roughly resembles what this study found regarding the carrying of objects bearing no resemblance to infants, especially by females. Theories for left sided biases in infant cradling need to account for why similar biases exist particularly among females when they are carrying inanimate objects. [ABSTRACT FROM AUTHOR]","ISSN":"01915886","journalAbbreviation":"Journal of Nonverbal Behavior","author":[{"family":"Ellis","given":"Lee1","suffix":"lee.ellis@hotmail.com"},{"family":"Awang","given":"Siti1"},{"family":"Larkin","given":"Stephanie2"}],"issued":{"date-parts":[["2013",12]]}},"label":"page"},{"id":268,"uris":["http://zotero.org/users/2023721/items/D3ZD9MPE"],"uri":["http://zotero.org/users/2023721/items/D3ZD9MPE"],"itemData":{"id":268,"type":"article-journal","title":"An examination of the leftward cradling bias among typically developing adults high on autistic traits.","container-title":"Laterality: Asymmetries of Body, Brain and Cognition","page":"711-722","volume":"20","issue":"6","source":"EBSCOhost","archive":"psyh","archive_location":"2015-39629-006","abstract":"The leftward cradling bias is the tendency to cradle infants on the left side of the body and it has been linked with hemispheric asymmetry for emotional processing. This study examines this phenomenon using a real-size infant doll in typically developing adults who score high in the Reading the Mind in the Eyes, the Autistic Spectrum Quotient and the Empathy Quotient, measures that assess autistic traits among typically developing individuals. Results revealed that this group showed a reduced tendency to cradle on the left compared to participants who score within the normal range on the above measurements. This study provides further support for the justification of the leftward cradling bias upon brain lateralization on emotional processing. Study limitations and suggestions for future research are discussed. (PsycINFO Database Record (c) 2016 APA, all rights reserved)","DOI":"10.1080/1357650X.2015.1046881","ISSN":"1357-650X","journalAbbreviation":"Laterality: Asymmetries of Body, Brain and Cognition","author":[{"family":"Fleva","given":"Eleni"},{"family":"Khan","given":"Azizuddin"}],"issued":{"date-parts":[["2015",11]]}},"label":"page"},{"id":215,"uris":["http://zotero.org/users/2023721/items/4A84GQVZ"],"uri":["http://zotero.org/users/2023721/items/4A84GQVZ"],"itemData":{"id":215,"type":"article-journal","title":"Laterality in Maternal Cradling and Infant Positional Biases: Implications for the Development and Evolution of Hand Preferences in Nonhuman Primates.","container-title":"International Journal of Primatology","page":"1243-1265","volume":"25","issue":"6","source":"EBSCOhost","archive":"afh","abstract":"Left-sided maternal cradling has been widely reported in human populations. In this paper, I review the evidence of laterality in maternal cradling and infant positional biases in non-human primates. The review revealed some evidence of population-left sided cradling in great apes but little consistency in bias was found among Old and New World monkeys. Very little data have been reported in prosimians. I further describe how asymmetries in either maternal cradling or infant positional biases may explain individual and species differences in hand preference. [ABSTRACT FROM AUTHOR]","ISSN":"01640291","journalAbbreviation":"International Journal of Primatology","author":[{"family":"Hopkins","given":"William D."}],"issued":{"date-parts":[["2004",12]]}},"label":"page"},{"id":307,"uris":["http://zotero.org/users/2023721/items/T5GG8T3E"],"uri":["http://zotero.org/users/2023721/items/T5GG8T3E"],"itemData":{"id":307,"type":"article-journal","title":"Cradling side preference is associated with lateralized processing of baby facial expressions in females.","container-title":"Brain and Cognition","page":"67-72","volume":"70","issue":"1","source":"EBSCOhost","archive":"psyh","archive_location":"2009-06576-008","abstract":"Women’s cradling side preference has been related to contralateral hemispheric specialization of processing emotional signals; but not of processing baby’s facial expression. Therefore, 46 nulliparous female volunteers were characterized as left or non-left holders (HG) during a doll holding task. During a signal detection task they were then asked to detect the emotional baby faces in a series of baby portraits with neutral and emotional facial expressions, presented either to the left or the right visual field (VFP). ANOVA revealed a significant HG × VFP interaction on response bias data (p &lt; .05). Response bias was lowest when emotional baby faces were presented in the visual field of cradling side preference, suggesting that women’s cradling side preference may have evolved to save cognitive resources during monitoring emotional baby face signals. (PsycINFO Database Record (c) 2016 APA, all rights reserved)","DOI":"10.1016/j.bandc.2008.12.010","ISSN":"0278-2626","journalAbbreviation":"Brain and Cognition","author":[{"family":"Huggenberger","given":"Harriet J."},{"family":"Suter","given":"Susanne E."},{"family":"Reijnen","given":"Ester"},{"family":"Schachinger","given":"Hartmut"}],"issued":{"date-parts":[["2009",6]]}},"label":"page"},{"id":266,"uris":["http://zotero.org/users/2023721/items/UR36SQJR"],"uri":["http://zotero.org/users/2023721/items/UR36SQJR"],"itemData":{"id":266,"type":"article-journal","title":"Maternal cradling bias and early communicative interactions: Implications for early identification of children at risk.","container-title":"Infant Behavior &amp; Development","page":"722-728","volume":"37","issue":"4","source":"EBSCOhost","archive":"ccm","DOI":"10.1016/j.infbeh.2014.08.008","ISSN":"0163-6383","journalAbbreviation":"Infant Behavior &amp; Development","author":[{"family":"Jones","given":"Sharon"}],"issued":{"date-parts":[["2014",11]]}},"label":"page"},{"id":275,"uris":["http://zotero.org/users/2023721/items/KG5DEWWD"],"uri":["http://zotero.org/users/2023721/items/KG5DEWWD"],"itemData":{"id":275,"type":"article-journal","title":"Lateral Cradling Preferences in Female Preschoolers","container-title":"The Journal of Genetic Psychology","page":"149-150","volume":"142","issue":"1","abstract":"Summary Previous research has established the existence of a left-sided cradling preference in adult women which is independent of handedness.1 It has also been shown, contrary to Salk's hypothesis, that mother-neonate contact during the early post partum period is not critical for the emergence of the left-sided cradling preference because a leftward bias was evident in nulliparous women who were asked to cradle a doll.2 In order to throw further light on the origin of lateral cradling preferences, the present study examined cradling behavior and its relation to handedness in preschool girls.","DOI":"10.1080/00221325.1983.10533505","ISSN":"0022-1325","journalAbbreviation":"The Journal of Genetic Psychology","author":[{"family":"Saling","given":"Michael"},{"family":"Bonert","given":"Renee"}],"issued":{"date-parts":[["1983",3,1]]}},"label":"page"},{"id":279,"uris":["http://zotero.org/users/2023721/items/E5M9RFAP"],"uri":["http://zotero.org/users/2023721/items/E5M9RFAP"],"itemData":{"id":279,"type":"article-journal","title":"Lateral Cradling Preferences in Nulliparous Females","container-title":"The Journal of Genetic Psychology","page":"309-310","volume":"139","issue":"2","DOI":"10.1080/00221325.1981.10534168","ISSN":"0022-1325","journalAbbreviation":"The Journal of Genetic Psychology","author":[{"family":"Saling","given":"Michael"},{"family":"Tyson","given":"Graham"}],"issued":{"date-parts":[["1981",12,1]]}},"label":"page"},{"id":213,"uris":["http://zotero.org/users/2023721/items/DN97GUGK"],"uri":["http://zotero.org/users/2023721/items/DN97GUGK"],"itemData":{"id":213,"type":"article-journal","title":"The impact of maternal deafness on cradling laterality with deaf and hearing infants.","container-title":"Journal Of Deaf Studies And Deaf Education","page":"387-394","volume":"9","issue":"4","source":"EBSCOhost","archive":"cmedm","archive_location":"15314013","abstract":"A recent article in the Journal of Deaf Studies and Deaf Education (Leigh, Brice, &amp; Meadow-Orlans, 2004) explored attachment between deaf mothers and their 18-month-old children and reported relationship patterns similar to those for hearing dyads. The study reported here explores a marker of early mother-child relationships: cradling laterality. Results indicated that, overall, the cradling bias of deaf mothers is similar to that of hearing mothers, but that there are significant differences among deaf mothers related to the hearing status of their own parents and, in a complex way, to the hearing status of their children. Deaf mothers of deaf parents showed a strong leftward cradling bias with both hearing and deaf children, whereas deaf mothers of hearing parents showed a leftward cradling bias with hearing children and a rightward cradling bias with deaf children. Possible explanations for these patterns of behavior are discussed.;","ISSN":"1081-4159","journalAbbreviation":"Journal Of Deaf Studies And Deaf Education","author":[{"family":"Sieratzki","given":"Jechil S"},{"family":"Woll","given":"Bencie"}],"issued":{"date-parts":[["2004"]],"season":"2004 Fall"}},"label":"page"},{"id":293,"uris":["http://zotero.org/users/2023721/items/H5WPXS5P"],"uri":["http://zotero.org/users/2023721/items/H5WPXS5P"],"itemData":{"id":293,"type":"article-journal","title":"Is the leftward cradling bias related to lateral asymmetries in attention?","container-title":"Journal of Genetic Psychology","page":"161","volume":"157","issue":"2","source":"EBSCOhost","archive":"afh","abstract":"Investigates the possible relationship between leftward cradling bias of human females and lateral asymmetries in attention. Neuropsychological variable of hemispheric asymmetry of function; Tendency relation to asymmetries in the cerebral attention system.","ISSN":"00221325","journalAbbreviation":"Journal of Genetic Psychology","author":[{"family":"Turnbull","given":"O.H."},{"family":"Lucas","given":"M.D."}],"issued":{"date-parts":[["1996",6]]}},"label":"page"},{"id":287,"uris":["http://zotero.org/users/2023721/items/KSQMG9NA"],"uri":["http://zotero.org/users/2023721/items/KSQMG9NA"],"itemData":{"id":287,"type":"article-journal","title":"Handedness as a major determinant of functional cradling bias.","container-title":"Laterality","page":"263-276","volume":"11","issue":"3","source":"EBSCOhost","archive":"aph","abstract":"Cradling is an interactive activity, involving a manual component that is very often an integral part of cradling. Cradling, while doing something else with the free hand, is referred to here as functional cradling. This study examined the relationship between a person's handedness and what arm he or she prefers to use when functionally cradling a baby doll that resembles a newborn infant. A total of 765 participants took part in the experiment, 403 women and 362 men, between the ages of 4 and 86 years. Left- and mixed-handers were actively recruited. The sample consisted of 64.3% right-handed, 24.7% mixed-handed, and 11.0% left-handed participants. The results showed a clear tendency for participants to cradle in their non-dominant arm ( p .001). Furthermore, this tendency increased with age and it was present in both sexes, although significantly stronger in women than in men. On the other hand, experience with young children through younger siblings and/or being a parent did not increase the likelihood to cradle in the non-dominant arm. It is concluded that humans have a clear functional cradling preference for the non-dominant arm because this enables the dominant arm to engage in other tasks. This might also explain why previous studies have reported a universal left cradling bias because a right-handed majority (intuitively) keeps the dominant hand free when cradling. [ABSTRACT FROM AUTHOR]","ISSN":"1357650X","journalAbbreviation":"Laterality","author":[{"family":"Meer","given":"Audrey","non-dropping-particle":"van der"},{"family":"Husby","given":"Åsmund"}],"issued":{"date-parts":[["2006",5]]}},"label":"page"}],"schema":"https://github.com/citation-style-language/schema/raw/master/csl-citation.json"} </w:instrText>
      </w:r>
      <w:r>
        <w:rPr>
          <w:rFonts w:ascii="Times New Roman" w:hAnsi="Times New Roman" w:cs="Times New Roman"/>
          <w:sz w:val="24"/>
          <w:szCs w:val="24"/>
        </w:rPr>
        <w:fldChar w:fldCharType="separate"/>
      </w:r>
      <w:r w:rsidRPr="00180FE0">
        <w:rPr>
          <w:rFonts w:ascii="Times New Roman" w:hAnsi="Times New Roman" w:cs="Times New Roman"/>
          <w:sz w:val="24"/>
        </w:rPr>
        <w:t xml:space="preserve">(Bourne &amp; Todd, 2004; Ellis, </w:t>
      </w:r>
      <w:proofErr w:type="spellStart"/>
      <w:r w:rsidRPr="00180FE0">
        <w:rPr>
          <w:rFonts w:ascii="Times New Roman" w:hAnsi="Times New Roman" w:cs="Times New Roman"/>
          <w:sz w:val="24"/>
        </w:rPr>
        <w:t>Awang</w:t>
      </w:r>
      <w:proofErr w:type="spellEnd"/>
      <w:r w:rsidRPr="00180FE0">
        <w:rPr>
          <w:rFonts w:ascii="Times New Roman" w:hAnsi="Times New Roman" w:cs="Times New Roman"/>
          <w:sz w:val="24"/>
        </w:rPr>
        <w:t xml:space="preserve">, &amp; Larkin, 2013; </w:t>
      </w:r>
      <w:proofErr w:type="spellStart"/>
      <w:r w:rsidRPr="00180FE0">
        <w:rPr>
          <w:rFonts w:ascii="Times New Roman" w:hAnsi="Times New Roman" w:cs="Times New Roman"/>
          <w:sz w:val="24"/>
        </w:rPr>
        <w:t>Fleva</w:t>
      </w:r>
      <w:proofErr w:type="spellEnd"/>
      <w:r w:rsidRPr="00180FE0">
        <w:rPr>
          <w:rFonts w:ascii="Times New Roman" w:hAnsi="Times New Roman" w:cs="Times New Roman"/>
          <w:sz w:val="24"/>
        </w:rPr>
        <w:t xml:space="preserve"> &amp; Khan, 2015; Hopkins, 2004; </w:t>
      </w:r>
      <w:proofErr w:type="spellStart"/>
      <w:r w:rsidRPr="00180FE0">
        <w:rPr>
          <w:rFonts w:ascii="Times New Roman" w:hAnsi="Times New Roman" w:cs="Times New Roman"/>
          <w:sz w:val="24"/>
        </w:rPr>
        <w:t>Huggenberger</w:t>
      </w:r>
      <w:proofErr w:type="spellEnd"/>
      <w:r w:rsidRPr="00180FE0">
        <w:rPr>
          <w:rFonts w:ascii="Times New Roman" w:hAnsi="Times New Roman" w:cs="Times New Roman"/>
          <w:sz w:val="24"/>
        </w:rPr>
        <w:t xml:space="preserve">, Suter, </w:t>
      </w:r>
      <w:proofErr w:type="spellStart"/>
      <w:r w:rsidRPr="00180FE0">
        <w:rPr>
          <w:rFonts w:ascii="Times New Roman" w:hAnsi="Times New Roman" w:cs="Times New Roman"/>
          <w:sz w:val="24"/>
        </w:rPr>
        <w:t>Reijnen</w:t>
      </w:r>
      <w:proofErr w:type="spellEnd"/>
      <w:r w:rsidRPr="00180FE0">
        <w:rPr>
          <w:rFonts w:ascii="Times New Roman" w:hAnsi="Times New Roman" w:cs="Times New Roman"/>
          <w:sz w:val="24"/>
        </w:rPr>
        <w:t xml:space="preserve">, &amp; </w:t>
      </w:r>
      <w:proofErr w:type="spellStart"/>
      <w:r w:rsidRPr="00180FE0">
        <w:rPr>
          <w:rFonts w:ascii="Times New Roman" w:hAnsi="Times New Roman" w:cs="Times New Roman"/>
          <w:sz w:val="24"/>
        </w:rPr>
        <w:t>Schachinger</w:t>
      </w:r>
      <w:proofErr w:type="spellEnd"/>
      <w:r w:rsidRPr="00180FE0">
        <w:rPr>
          <w:rFonts w:ascii="Times New Roman" w:hAnsi="Times New Roman" w:cs="Times New Roman"/>
          <w:sz w:val="24"/>
        </w:rPr>
        <w:t xml:space="preserve">, 2009; Jones, 2014; </w:t>
      </w:r>
      <w:proofErr w:type="spellStart"/>
      <w:r w:rsidRPr="00180FE0">
        <w:rPr>
          <w:rFonts w:ascii="Times New Roman" w:hAnsi="Times New Roman" w:cs="Times New Roman"/>
          <w:sz w:val="24"/>
        </w:rPr>
        <w:t>Saling</w:t>
      </w:r>
      <w:proofErr w:type="spellEnd"/>
      <w:r w:rsidRPr="00180FE0">
        <w:rPr>
          <w:rFonts w:ascii="Times New Roman" w:hAnsi="Times New Roman" w:cs="Times New Roman"/>
          <w:sz w:val="24"/>
        </w:rPr>
        <w:t xml:space="preserve"> &amp; </w:t>
      </w:r>
      <w:proofErr w:type="spellStart"/>
      <w:r w:rsidRPr="00180FE0">
        <w:rPr>
          <w:rFonts w:ascii="Times New Roman" w:hAnsi="Times New Roman" w:cs="Times New Roman"/>
          <w:sz w:val="24"/>
        </w:rPr>
        <w:t>Bonert</w:t>
      </w:r>
      <w:proofErr w:type="spellEnd"/>
      <w:r w:rsidRPr="00180FE0">
        <w:rPr>
          <w:rFonts w:ascii="Times New Roman" w:hAnsi="Times New Roman" w:cs="Times New Roman"/>
          <w:sz w:val="24"/>
        </w:rPr>
        <w:t xml:space="preserve">, 1983; </w:t>
      </w:r>
      <w:proofErr w:type="spellStart"/>
      <w:r w:rsidRPr="00180FE0">
        <w:rPr>
          <w:rFonts w:ascii="Times New Roman" w:hAnsi="Times New Roman" w:cs="Times New Roman"/>
          <w:sz w:val="24"/>
        </w:rPr>
        <w:t>Saling</w:t>
      </w:r>
      <w:proofErr w:type="spellEnd"/>
      <w:r w:rsidRPr="00180FE0">
        <w:rPr>
          <w:rFonts w:ascii="Times New Roman" w:hAnsi="Times New Roman" w:cs="Times New Roman"/>
          <w:sz w:val="24"/>
        </w:rPr>
        <w:t xml:space="preserve"> &amp; Tyson, 1981; </w:t>
      </w:r>
      <w:proofErr w:type="spellStart"/>
      <w:r w:rsidRPr="00180FE0">
        <w:rPr>
          <w:rFonts w:ascii="Times New Roman" w:hAnsi="Times New Roman" w:cs="Times New Roman"/>
          <w:sz w:val="24"/>
        </w:rPr>
        <w:t>Sieratzki</w:t>
      </w:r>
      <w:proofErr w:type="spellEnd"/>
      <w:r w:rsidRPr="00180FE0">
        <w:rPr>
          <w:rFonts w:ascii="Times New Roman" w:hAnsi="Times New Roman" w:cs="Times New Roman"/>
          <w:sz w:val="24"/>
        </w:rPr>
        <w:t xml:space="preserve"> &amp; </w:t>
      </w:r>
      <w:proofErr w:type="spellStart"/>
      <w:r w:rsidRPr="00180FE0">
        <w:rPr>
          <w:rFonts w:ascii="Times New Roman" w:hAnsi="Times New Roman" w:cs="Times New Roman"/>
          <w:sz w:val="24"/>
        </w:rPr>
        <w:t>Woll</w:t>
      </w:r>
      <w:proofErr w:type="spellEnd"/>
      <w:r w:rsidRPr="00180FE0">
        <w:rPr>
          <w:rFonts w:ascii="Times New Roman" w:hAnsi="Times New Roman" w:cs="Times New Roman"/>
          <w:sz w:val="24"/>
        </w:rPr>
        <w:t xml:space="preserve">, 2004; Turnbull &amp; Lucas, 1996; van der Meer &amp; </w:t>
      </w:r>
      <w:proofErr w:type="spellStart"/>
      <w:r w:rsidRPr="00180FE0">
        <w:rPr>
          <w:rFonts w:ascii="Times New Roman" w:hAnsi="Times New Roman" w:cs="Times New Roman"/>
          <w:sz w:val="24"/>
        </w:rPr>
        <w:t>Husby</w:t>
      </w:r>
      <w:proofErr w:type="spellEnd"/>
      <w:r w:rsidRPr="00180FE0">
        <w:rPr>
          <w:rFonts w:ascii="Times New Roman" w:hAnsi="Times New Roman" w:cs="Times New Roman"/>
          <w:sz w:val="24"/>
        </w:rPr>
        <w:t>, 2006)</w:t>
      </w:r>
      <w:r>
        <w:rPr>
          <w:rFonts w:ascii="Times New Roman" w:hAnsi="Times New Roman" w:cs="Times New Roman"/>
          <w:sz w:val="24"/>
          <w:szCs w:val="24"/>
        </w:rPr>
        <w:fldChar w:fldCharType="end"/>
      </w:r>
      <w:r w:rsidR="00AA7F68">
        <w:rPr>
          <w:rFonts w:ascii="Times New Roman" w:hAnsi="Times New Roman" w:cs="Times New Roman"/>
          <w:sz w:val="24"/>
          <w:szCs w:val="24"/>
        </w:rPr>
        <w:t>.  This presentation will review the literature focusing on maternal cradling bias and explore implications on best practices for pediatric professionals.</w:t>
      </w:r>
    </w:p>
    <w:p w:rsidR="00180FE0" w:rsidRDefault="00180FE0">
      <w:pPr>
        <w:rPr>
          <w:rFonts w:ascii="Times New Roman" w:hAnsi="Times New Roman" w:cs="Times New Roman"/>
          <w:b/>
          <w:sz w:val="24"/>
          <w:szCs w:val="24"/>
        </w:rPr>
      </w:pPr>
    </w:p>
    <w:p w:rsidR="0003768C" w:rsidRDefault="0003768C">
      <w:pPr>
        <w:rPr>
          <w:rFonts w:ascii="Times New Roman" w:hAnsi="Times New Roman" w:cs="Times New Roman"/>
          <w:b/>
          <w:sz w:val="24"/>
          <w:szCs w:val="24"/>
        </w:rPr>
      </w:pPr>
      <w:r>
        <w:rPr>
          <w:rFonts w:ascii="Times New Roman" w:hAnsi="Times New Roman" w:cs="Times New Roman"/>
          <w:b/>
          <w:sz w:val="24"/>
          <w:szCs w:val="24"/>
        </w:rPr>
        <w:t>Biography</w:t>
      </w:r>
    </w:p>
    <w:p w:rsidR="0003768C" w:rsidRDefault="0003768C">
      <w:pPr>
        <w:rPr>
          <w:rFonts w:ascii="Times New Roman" w:hAnsi="Times New Roman" w:cs="Times New Roman"/>
          <w:sz w:val="24"/>
          <w:szCs w:val="24"/>
        </w:rPr>
      </w:pPr>
      <w:r>
        <w:rPr>
          <w:rFonts w:ascii="Times New Roman" w:hAnsi="Times New Roman" w:cs="Times New Roman"/>
          <w:sz w:val="24"/>
          <w:szCs w:val="24"/>
        </w:rPr>
        <w:t xml:space="preserve">Sharon Jones completed her Ph.D. in Communication Sciences and Disorders in 2014 from the University of Arkansas for Medical Sciences, after 23 years as a clinical speech-language pathologist.  She has experience working with </w:t>
      </w:r>
      <w:r w:rsidR="009B35EA">
        <w:rPr>
          <w:rFonts w:ascii="Times New Roman" w:hAnsi="Times New Roman" w:cs="Times New Roman"/>
          <w:sz w:val="24"/>
          <w:szCs w:val="24"/>
        </w:rPr>
        <w:t xml:space="preserve">pediatric, adolescent, young adult, and geriatric clients.  She currently holds the position of Assistant Professor in the Speech-Language Pathology Program at Northeastern State University. Dr. Jones teaches undergraduate and graduate courses including Neuroanatomy of Communication Disorders, Aphasia and TBI, </w:t>
      </w:r>
      <w:r w:rsidR="009B35EA">
        <w:rPr>
          <w:rFonts w:ascii="Times New Roman" w:hAnsi="Times New Roman" w:cs="Times New Roman"/>
          <w:sz w:val="24"/>
          <w:szCs w:val="24"/>
        </w:rPr>
        <w:lastRenderedPageBreak/>
        <w:t>Augmentative and Alternative Communication, Cognitive Communication Disorders, and Clinical Practicum in Speech-Language Pathology</w:t>
      </w:r>
      <w:r w:rsidR="0092282E">
        <w:rPr>
          <w:rFonts w:ascii="Times New Roman" w:hAnsi="Times New Roman" w:cs="Times New Roman"/>
          <w:sz w:val="24"/>
          <w:szCs w:val="24"/>
        </w:rPr>
        <w:t>. She is a member of the American Speech Language Hearing Association.</w:t>
      </w:r>
    </w:p>
    <w:p w:rsidR="0092282E" w:rsidRDefault="0092282E">
      <w:pPr>
        <w:rPr>
          <w:rFonts w:ascii="Times New Roman" w:hAnsi="Times New Roman" w:cs="Times New Roman"/>
          <w:sz w:val="24"/>
          <w:szCs w:val="24"/>
        </w:rPr>
      </w:pPr>
    </w:p>
    <w:p w:rsidR="0092282E" w:rsidRDefault="0092282E">
      <w:pPr>
        <w:rPr>
          <w:rFonts w:ascii="Times New Roman" w:hAnsi="Times New Roman" w:cs="Times New Roman"/>
          <w:b/>
          <w:sz w:val="24"/>
          <w:szCs w:val="24"/>
        </w:rPr>
      </w:pPr>
      <w:r>
        <w:rPr>
          <w:rFonts w:ascii="Times New Roman" w:hAnsi="Times New Roman" w:cs="Times New Roman"/>
          <w:b/>
          <w:sz w:val="24"/>
          <w:szCs w:val="24"/>
        </w:rPr>
        <w:t>Presenting author details</w:t>
      </w:r>
    </w:p>
    <w:p w:rsidR="0092282E" w:rsidRDefault="0092282E">
      <w:pPr>
        <w:rPr>
          <w:rFonts w:ascii="Times New Roman" w:hAnsi="Times New Roman" w:cs="Times New Roman"/>
          <w:sz w:val="24"/>
          <w:szCs w:val="24"/>
        </w:rPr>
      </w:pPr>
      <w:r>
        <w:rPr>
          <w:rFonts w:ascii="Times New Roman" w:hAnsi="Times New Roman" w:cs="Times New Roman"/>
          <w:sz w:val="24"/>
          <w:szCs w:val="24"/>
        </w:rPr>
        <w:t>Full name:  Sharon J. Jones</w:t>
      </w:r>
    </w:p>
    <w:p w:rsidR="0092282E" w:rsidRDefault="0092282E">
      <w:pPr>
        <w:rPr>
          <w:rFonts w:ascii="Times New Roman" w:hAnsi="Times New Roman" w:cs="Times New Roman"/>
          <w:sz w:val="24"/>
          <w:szCs w:val="24"/>
        </w:rPr>
      </w:pPr>
      <w:r>
        <w:rPr>
          <w:rFonts w:ascii="Times New Roman" w:hAnsi="Times New Roman" w:cs="Times New Roman"/>
          <w:sz w:val="24"/>
          <w:szCs w:val="24"/>
        </w:rPr>
        <w:t>Contact Number: 1-918-444-3775</w:t>
      </w:r>
    </w:p>
    <w:p w:rsidR="0092282E" w:rsidRDefault="00D45735">
      <w:pPr>
        <w:rPr>
          <w:rFonts w:ascii="Times New Roman" w:hAnsi="Times New Roman" w:cs="Times New Roman"/>
          <w:sz w:val="24"/>
          <w:szCs w:val="24"/>
        </w:rPr>
      </w:pPr>
      <w:r>
        <w:rPr>
          <w:rFonts w:ascii="Times New Roman" w:hAnsi="Times New Roman" w:cs="Times New Roman"/>
          <w:sz w:val="24"/>
          <w:szCs w:val="24"/>
        </w:rPr>
        <w:t xml:space="preserve">Linked In: </w:t>
      </w:r>
      <w:hyperlink r:id="rId4" w:history="1">
        <w:r w:rsidRPr="000343E1">
          <w:rPr>
            <w:rStyle w:val="Hyperlink"/>
            <w:rFonts w:ascii="Times New Roman" w:hAnsi="Times New Roman" w:cs="Times New Roman"/>
            <w:sz w:val="24"/>
            <w:szCs w:val="24"/>
          </w:rPr>
          <w:t>https://www.linkedin.com/in/sharon-jones-625bb9b6</w:t>
        </w:r>
      </w:hyperlink>
    </w:p>
    <w:p w:rsidR="00D45735" w:rsidRDefault="00D45735">
      <w:pPr>
        <w:rPr>
          <w:rFonts w:ascii="Times New Roman" w:hAnsi="Times New Roman" w:cs="Times New Roman"/>
          <w:sz w:val="24"/>
          <w:szCs w:val="24"/>
        </w:rPr>
      </w:pPr>
      <w:r>
        <w:rPr>
          <w:rFonts w:ascii="Times New Roman" w:hAnsi="Times New Roman" w:cs="Times New Roman"/>
          <w:sz w:val="24"/>
          <w:szCs w:val="24"/>
        </w:rPr>
        <w:t>Session name/number:</w:t>
      </w:r>
    </w:p>
    <w:p w:rsidR="00D45735" w:rsidRPr="0092282E" w:rsidRDefault="00D45735">
      <w:pPr>
        <w:rPr>
          <w:rFonts w:ascii="Times New Roman" w:hAnsi="Times New Roman" w:cs="Times New Roman"/>
          <w:sz w:val="24"/>
          <w:szCs w:val="24"/>
        </w:rPr>
      </w:pPr>
      <w:r>
        <w:rPr>
          <w:rFonts w:ascii="Times New Roman" w:hAnsi="Times New Roman" w:cs="Times New Roman"/>
          <w:sz w:val="24"/>
          <w:szCs w:val="24"/>
        </w:rPr>
        <w:t>Category:  Poster Presentation</w:t>
      </w:r>
    </w:p>
    <w:p w:rsidR="0092282E" w:rsidRPr="0003768C" w:rsidRDefault="0092282E">
      <w:pPr>
        <w:rPr>
          <w:rFonts w:ascii="Times New Roman" w:hAnsi="Times New Roman" w:cs="Times New Roman"/>
          <w:sz w:val="24"/>
          <w:szCs w:val="24"/>
        </w:rPr>
      </w:pPr>
    </w:p>
    <w:sectPr w:rsidR="0092282E" w:rsidRPr="000376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jQ2NDUzNzIzNjUzMDZQ0lEKTi0uzszPAykwrAUAoQ50rywAAAA="/>
  </w:docVars>
  <w:rsids>
    <w:rsidRoot w:val="00180FE0"/>
    <w:rsid w:val="00006FB4"/>
    <w:rsid w:val="0003768C"/>
    <w:rsid w:val="000D2DB9"/>
    <w:rsid w:val="00180FE0"/>
    <w:rsid w:val="0018180F"/>
    <w:rsid w:val="00181940"/>
    <w:rsid w:val="001A60B9"/>
    <w:rsid w:val="001D0DAD"/>
    <w:rsid w:val="001D20FA"/>
    <w:rsid w:val="001F69C8"/>
    <w:rsid w:val="002277AD"/>
    <w:rsid w:val="0025592B"/>
    <w:rsid w:val="00284215"/>
    <w:rsid w:val="002A32E9"/>
    <w:rsid w:val="002B58D3"/>
    <w:rsid w:val="002B6F53"/>
    <w:rsid w:val="00334234"/>
    <w:rsid w:val="0038569A"/>
    <w:rsid w:val="003E4897"/>
    <w:rsid w:val="003E4982"/>
    <w:rsid w:val="0045078D"/>
    <w:rsid w:val="00460784"/>
    <w:rsid w:val="00464CF9"/>
    <w:rsid w:val="00557601"/>
    <w:rsid w:val="005D79D5"/>
    <w:rsid w:val="005E3A70"/>
    <w:rsid w:val="00603E5C"/>
    <w:rsid w:val="00640F85"/>
    <w:rsid w:val="00691A2E"/>
    <w:rsid w:val="006A1F76"/>
    <w:rsid w:val="006B0B1E"/>
    <w:rsid w:val="006D22DF"/>
    <w:rsid w:val="00722C9C"/>
    <w:rsid w:val="00753DCC"/>
    <w:rsid w:val="00761B87"/>
    <w:rsid w:val="00764EC5"/>
    <w:rsid w:val="00780C16"/>
    <w:rsid w:val="007836D2"/>
    <w:rsid w:val="007F1BC7"/>
    <w:rsid w:val="00836CDD"/>
    <w:rsid w:val="00862C22"/>
    <w:rsid w:val="00877638"/>
    <w:rsid w:val="00886DD0"/>
    <w:rsid w:val="008B1AEB"/>
    <w:rsid w:val="008B5104"/>
    <w:rsid w:val="008C1D5A"/>
    <w:rsid w:val="008D2DCA"/>
    <w:rsid w:val="008F1433"/>
    <w:rsid w:val="00916C2E"/>
    <w:rsid w:val="0092282E"/>
    <w:rsid w:val="00927664"/>
    <w:rsid w:val="00931B5F"/>
    <w:rsid w:val="00942994"/>
    <w:rsid w:val="00965800"/>
    <w:rsid w:val="009736B4"/>
    <w:rsid w:val="009B35EA"/>
    <w:rsid w:val="00A733F6"/>
    <w:rsid w:val="00A86970"/>
    <w:rsid w:val="00AA7F68"/>
    <w:rsid w:val="00AC5F01"/>
    <w:rsid w:val="00B41678"/>
    <w:rsid w:val="00B83D36"/>
    <w:rsid w:val="00C510C4"/>
    <w:rsid w:val="00CE0EA0"/>
    <w:rsid w:val="00D05090"/>
    <w:rsid w:val="00D45735"/>
    <w:rsid w:val="00DC1E92"/>
    <w:rsid w:val="00DD61E2"/>
    <w:rsid w:val="00DF5054"/>
    <w:rsid w:val="00E70FFC"/>
    <w:rsid w:val="00EB4FCB"/>
    <w:rsid w:val="00EC58F8"/>
    <w:rsid w:val="00ED6396"/>
    <w:rsid w:val="00ED72BB"/>
    <w:rsid w:val="00EF179F"/>
    <w:rsid w:val="00F148EE"/>
    <w:rsid w:val="00F31721"/>
    <w:rsid w:val="00F42427"/>
    <w:rsid w:val="00F62137"/>
    <w:rsid w:val="00F64E2E"/>
    <w:rsid w:val="00F6762D"/>
    <w:rsid w:val="00F841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6006"/>
  <w15:chartTrackingRefBased/>
  <w15:docId w15:val="{8FAD954C-002E-46EF-842E-E7874F72C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57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nkedin.com/in/sharon-jones-625bb9b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2</Pages>
  <Words>6101</Words>
  <Characters>34778</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Northeastern State University</Company>
  <LinksUpToDate>false</LinksUpToDate>
  <CharactersWithSpaces>40798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Jones</dc:creator>
  <cp:keywords/>
  <dc:description/>
  <cp:lastModifiedBy>Sharon Jones</cp:lastModifiedBy>
  <cp:revision>1</cp:revision>
  <dcterms:created xsi:type="dcterms:W3CDTF">2017-01-19T16:07:00Z</dcterms:created>
  <dcterms:modified xsi:type="dcterms:W3CDTF">2017-01-19T17:52:00Z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zotero-version="4.0.29.16"&gt;&lt;session id="YDp6huCZ"/&gt;&lt;style id="http://www.zotero.org/styles/apa" locale="en-US" hasBibliography="1" bibliographyStyleHasBeenSet="0"/&gt;&lt;prefs&gt;&lt;pref name="fieldType" value="Field"/&gt;&lt;pref name="storeRefere</vt:lpwstr>
  </property>
  <property fmtid="{D5CDD505-2E9C-101B-9397-08002B2CF9AE}" pid="3" name="ZOTERO_PREF_2">
    <vt:lpwstr>nces" value="true"/&gt;&lt;pref name="automaticJournalAbbreviations" value="true"/&gt;&lt;pref name="noteType" value=""/&gt;&lt;/prefs&gt;&lt;/data&gt;</vt:lpwstr>
  </property>
</Properties>
</file>