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4C0" w:rsidRPr="00C259A6" w:rsidRDefault="003A24C0" w:rsidP="003A24C0">
      <w:pPr>
        <w:spacing w:after="0" w:line="240" w:lineRule="auto"/>
        <w:outlineLvl w:val="1"/>
        <w:rPr>
          <w:rFonts w:ascii="Helvetica" w:eastAsia="Times New Roman" w:hAnsi="Helvetica" w:cs="Times New Roman"/>
          <w:b/>
          <w:color w:val="202124"/>
          <w:sz w:val="36"/>
          <w:szCs w:val="36"/>
          <w:lang w:eastAsia="en-GB"/>
        </w:rPr>
      </w:pPr>
      <w:r w:rsidRPr="003A24C0">
        <w:rPr>
          <w:rFonts w:ascii="Helvetica" w:eastAsia="Times New Roman" w:hAnsi="Helvetica" w:cs="Times New Roman"/>
          <w:b/>
          <w:color w:val="202124"/>
          <w:sz w:val="36"/>
          <w:szCs w:val="36"/>
          <w:lang w:eastAsia="en-GB"/>
        </w:rPr>
        <w:t>Distribution of Ocular Perfusion Pressure and Its Relationship with Open-Angle Glaucoma</w:t>
      </w:r>
      <w:r w:rsidR="00B87D0F">
        <w:rPr>
          <w:rFonts w:ascii="Helvetica" w:eastAsia="Times New Roman" w:hAnsi="Helvetica" w:cs="Times New Roman"/>
          <w:b/>
          <w:color w:val="202124"/>
          <w:sz w:val="36"/>
          <w:szCs w:val="36"/>
          <w:lang w:eastAsia="en-GB"/>
        </w:rPr>
        <w:t>, Systolic</w:t>
      </w:r>
      <w:bookmarkStart w:id="0" w:name="_GoBack"/>
      <w:bookmarkEnd w:id="0"/>
      <w:r w:rsidR="00B87D0F">
        <w:rPr>
          <w:rFonts w:ascii="Helvetica" w:eastAsia="Times New Roman" w:hAnsi="Helvetica" w:cs="Times New Roman"/>
          <w:b/>
          <w:color w:val="202124"/>
          <w:sz w:val="36"/>
          <w:szCs w:val="36"/>
          <w:lang w:eastAsia="en-GB"/>
        </w:rPr>
        <w:t xml:space="preserve"> and Diastolic Blood Pressure </w:t>
      </w:r>
    </w:p>
    <w:p w:rsidR="00C259A6" w:rsidRPr="00C259A6" w:rsidRDefault="00C259A6" w:rsidP="003A24C0">
      <w:pPr>
        <w:spacing w:after="0" w:line="240" w:lineRule="auto"/>
        <w:outlineLvl w:val="1"/>
        <w:rPr>
          <w:rFonts w:ascii="Helvetica" w:eastAsia="Times New Roman" w:hAnsi="Helvetica" w:cs="Times New Roman"/>
          <w:b/>
          <w:color w:val="202124"/>
          <w:sz w:val="36"/>
          <w:szCs w:val="36"/>
          <w:lang w:eastAsia="en-GB"/>
        </w:rPr>
      </w:pPr>
    </w:p>
    <w:p w:rsidR="00C259A6" w:rsidRPr="00C259A6" w:rsidRDefault="00C259A6" w:rsidP="003A24C0">
      <w:pPr>
        <w:spacing w:after="0" w:line="240" w:lineRule="auto"/>
        <w:outlineLvl w:val="1"/>
        <w:rPr>
          <w:rFonts w:ascii="Helvetica" w:eastAsia="Times New Roman" w:hAnsi="Helvetica" w:cs="Times New Roman"/>
          <w:b/>
          <w:i/>
          <w:color w:val="202124"/>
          <w:sz w:val="24"/>
          <w:szCs w:val="24"/>
          <w:lang w:eastAsia="en-GB"/>
        </w:rPr>
      </w:pPr>
      <w:proofErr w:type="spellStart"/>
      <w:r w:rsidRPr="00C259A6">
        <w:rPr>
          <w:rFonts w:ascii="Helvetica" w:eastAsia="Times New Roman" w:hAnsi="Helvetica" w:cs="Times New Roman"/>
          <w:b/>
          <w:color w:val="202124"/>
          <w:sz w:val="24"/>
          <w:szCs w:val="24"/>
          <w:lang w:eastAsia="en-GB"/>
        </w:rPr>
        <w:t>Shabbir</w:t>
      </w:r>
      <w:proofErr w:type="spellEnd"/>
      <w:r w:rsidRPr="00C259A6">
        <w:rPr>
          <w:rFonts w:ascii="Helvetica" w:eastAsia="Times New Roman" w:hAnsi="Helvetica" w:cs="Times New Roman"/>
          <w:b/>
          <w:color w:val="202124"/>
          <w:sz w:val="24"/>
          <w:szCs w:val="24"/>
          <w:lang w:eastAsia="en-GB"/>
        </w:rPr>
        <w:t xml:space="preserve"> </w:t>
      </w:r>
      <w:proofErr w:type="spellStart"/>
      <w:proofErr w:type="gramStart"/>
      <w:r w:rsidRPr="00C259A6">
        <w:rPr>
          <w:rFonts w:ascii="Helvetica" w:eastAsia="Times New Roman" w:hAnsi="Helvetica" w:cs="Times New Roman"/>
          <w:b/>
          <w:color w:val="202124"/>
          <w:sz w:val="24"/>
          <w:szCs w:val="24"/>
          <w:lang w:eastAsia="en-GB"/>
        </w:rPr>
        <w:t>Saifuddin</w:t>
      </w:r>
      <w:proofErr w:type="spellEnd"/>
      <w:r w:rsidRPr="00C259A6">
        <w:rPr>
          <w:rFonts w:ascii="Helvetica" w:eastAsia="Times New Roman" w:hAnsi="Helvetica" w:cs="Times New Roman"/>
          <w:b/>
          <w:color w:val="202124"/>
          <w:sz w:val="24"/>
          <w:szCs w:val="24"/>
          <w:lang w:eastAsia="en-GB"/>
        </w:rPr>
        <w:t xml:space="preserve"> ,</w:t>
      </w:r>
      <w:proofErr w:type="gramEnd"/>
      <w:r w:rsidRPr="00C259A6">
        <w:rPr>
          <w:rFonts w:ascii="Helvetica" w:eastAsia="Times New Roman" w:hAnsi="Helvetica" w:cs="Times New Roman"/>
          <w:b/>
          <w:color w:val="202124"/>
          <w:sz w:val="24"/>
          <w:szCs w:val="24"/>
          <w:lang w:eastAsia="en-GB"/>
        </w:rPr>
        <w:t xml:space="preserve"> </w:t>
      </w:r>
      <w:r w:rsidRPr="00C259A6">
        <w:rPr>
          <w:rFonts w:ascii="Helvetica" w:eastAsia="Times New Roman" w:hAnsi="Helvetica" w:cs="Times New Roman"/>
          <w:b/>
          <w:i/>
          <w:color w:val="202124"/>
          <w:sz w:val="24"/>
          <w:szCs w:val="24"/>
          <w:lang w:eastAsia="en-GB"/>
        </w:rPr>
        <w:t xml:space="preserve">MBBS, MS, </w:t>
      </w:r>
      <w:proofErr w:type="spellStart"/>
      <w:r w:rsidRPr="00C259A6">
        <w:rPr>
          <w:rFonts w:ascii="Helvetica" w:eastAsia="Times New Roman" w:hAnsi="Helvetica" w:cs="Times New Roman"/>
          <w:b/>
          <w:i/>
          <w:color w:val="202124"/>
          <w:sz w:val="24"/>
          <w:szCs w:val="24"/>
          <w:lang w:eastAsia="en-GB"/>
        </w:rPr>
        <w:t>MCh</w:t>
      </w:r>
      <w:proofErr w:type="spellEnd"/>
      <w:r w:rsidRPr="00C259A6">
        <w:rPr>
          <w:rFonts w:ascii="Helvetica" w:eastAsia="Times New Roman" w:hAnsi="Helvetica" w:cs="Times New Roman"/>
          <w:b/>
          <w:i/>
          <w:color w:val="202124"/>
          <w:sz w:val="24"/>
          <w:szCs w:val="24"/>
          <w:lang w:eastAsia="en-GB"/>
        </w:rPr>
        <w:t xml:space="preserve"> (ophthalmology )</w:t>
      </w:r>
    </w:p>
    <w:p w:rsidR="00C259A6" w:rsidRPr="00C259A6" w:rsidRDefault="00C259A6" w:rsidP="003A24C0">
      <w:pPr>
        <w:spacing w:after="0" w:line="240" w:lineRule="auto"/>
        <w:outlineLvl w:val="1"/>
        <w:rPr>
          <w:rFonts w:ascii="Helvetica" w:eastAsia="Times New Roman" w:hAnsi="Helvetica" w:cs="Times New Roman"/>
          <w:b/>
          <w:color w:val="202124"/>
          <w:sz w:val="24"/>
          <w:szCs w:val="24"/>
          <w:lang w:eastAsia="en-GB"/>
        </w:rPr>
      </w:pPr>
      <w:proofErr w:type="spellStart"/>
      <w:r w:rsidRPr="00C259A6">
        <w:rPr>
          <w:rFonts w:ascii="Helvetica" w:eastAsia="Times New Roman" w:hAnsi="Helvetica" w:cs="Times New Roman"/>
          <w:b/>
          <w:color w:val="202124"/>
          <w:sz w:val="24"/>
          <w:szCs w:val="24"/>
          <w:lang w:eastAsia="en-GB"/>
        </w:rPr>
        <w:t>Jansons</w:t>
      </w:r>
      <w:proofErr w:type="spellEnd"/>
      <w:r w:rsidRPr="00C259A6">
        <w:rPr>
          <w:rFonts w:ascii="Helvetica" w:eastAsia="Times New Roman" w:hAnsi="Helvetica" w:cs="Times New Roman"/>
          <w:b/>
          <w:color w:val="202124"/>
          <w:sz w:val="24"/>
          <w:szCs w:val="24"/>
          <w:lang w:eastAsia="en-GB"/>
        </w:rPr>
        <w:t xml:space="preserve"> Medical Centre and Institute, Dubai, U.A.E.</w:t>
      </w:r>
    </w:p>
    <w:p w:rsidR="003A24C0" w:rsidRDefault="003A24C0" w:rsidP="003A24C0">
      <w:pPr>
        <w:spacing w:after="0" w:line="240" w:lineRule="auto"/>
        <w:outlineLvl w:val="1"/>
        <w:rPr>
          <w:rFonts w:ascii="Helvetica" w:eastAsia="Times New Roman" w:hAnsi="Helvetica" w:cs="Times New Roman"/>
          <w:color w:val="202124"/>
          <w:sz w:val="36"/>
          <w:szCs w:val="36"/>
          <w:lang w:eastAsia="en-GB"/>
        </w:rPr>
      </w:pPr>
    </w:p>
    <w:p w:rsidR="003A24C0" w:rsidRDefault="003A24C0" w:rsidP="003A24C0">
      <w:pPr>
        <w:spacing w:after="0" w:line="240" w:lineRule="auto"/>
        <w:outlineLvl w:val="1"/>
        <w:rPr>
          <w:rFonts w:ascii="Helvetica" w:eastAsia="Times New Roman" w:hAnsi="Helvetica" w:cs="Times New Roman"/>
          <w:color w:val="202124"/>
          <w:sz w:val="36"/>
          <w:szCs w:val="36"/>
          <w:lang w:eastAsia="en-GB"/>
        </w:rPr>
      </w:pPr>
      <w:r w:rsidRPr="003A24C0">
        <w:rPr>
          <w:rFonts w:ascii="Helvetica" w:eastAsia="Times New Roman" w:hAnsi="Helvetica" w:cs="Times New Roman"/>
          <w:color w:val="202124"/>
          <w:sz w:val="36"/>
          <w:szCs w:val="36"/>
          <w:lang w:eastAsia="en-GB"/>
        </w:rPr>
        <w:t xml:space="preserve">Abstract </w:t>
      </w:r>
    </w:p>
    <w:p w:rsidR="003A24C0" w:rsidRDefault="003A24C0" w:rsidP="003A24C0">
      <w:pPr>
        <w:spacing w:after="0" w:line="240" w:lineRule="auto"/>
        <w:outlineLvl w:val="1"/>
        <w:rPr>
          <w:rFonts w:ascii="Helvetica" w:eastAsia="Times New Roman" w:hAnsi="Helvetica" w:cs="Times New Roman"/>
          <w:color w:val="202124"/>
          <w:sz w:val="36"/>
          <w:szCs w:val="36"/>
          <w:lang w:eastAsia="en-GB"/>
        </w:rPr>
      </w:pPr>
    </w:p>
    <w:p w:rsidR="003A24C0" w:rsidRPr="003A24C0" w:rsidRDefault="003A24C0" w:rsidP="003A24C0">
      <w:pPr>
        <w:spacing w:after="0" w:line="240" w:lineRule="auto"/>
        <w:outlineLvl w:val="1"/>
        <w:rPr>
          <w:rFonts w:ascii="Helvetica" w:eastAsia="Times New Roman" w:hAnsi="Helvetica" w:cs="Times New Roman"/>
          <w:b/>
          <w:color w:val="202124"/>
          <w:sz w:val="28"/>
          <w:szCs w:val="28"/>
          <w:lang w:eastAsia="en-GB"/>
        </w:rPr>
      </w:pPr>
      <w:r>
        <w:rPr>
          <w:rFonts w:ascii="Helvetica" w:eastAsia="Times New Roman" w:hAnsi="Helvetica" w:cs="Times New Roman"/>
          <w:b/>
          <w:color w:val="202124"/>
          <w:sz w:val="28"/>
          <w:szCs w:val="28"/>
          <w:lang w:eastAsia="en-GB"/>
        </w:rPr>
        <w:t>Purpose</w:t>
      </w:r>
      <w:r w:rsidRPr="003A24C0">
        <w:rPr>
          <w:rFonts w:ascii="Helvetica" w:eastAsia="Times New Roman" w:hAnsi="Helvetica" w:cs="Times New Roman"/>
          <w:b/>
          <w:color w:val="202124"/>
          <w:sz w:val="28"/>
          <w:szCs w:val="28"/>
          <w:lang w:eastAsia="en-GB"/>
        </w:rPr>
        <w:t>: </w:t>
      </w:r>
    </w:p>
    <w:p w:rsidR="003A24C0" w:rsidRPr="003A24C0" w:rsidRDefault="003A24C0" w:rsidP="003A24C0">
      <w:pPr>
        <w:spacing w:after="0" w:line="240" w:lineRule="auto"/>
        <w:outlineLvl w:val="1"/>
        <w:rPr>
          <w:rFonts w:ascii="Helvetica" w:eastAsia="Times New Roman" w:hAnsi="Helvetica" w:cs="Times New Roman"/>
          <w:b/>
          <w:color w:val="202124"/>
          <w:sz w:val="28"/>
          <w:szCs w:val="28"/>
          <w:lang w:eastAsia="en-GB"/>
        </w:rPr>
      </w:pPr>
    </w:p>
    <w:p w:rsidR="003A24C0" w:rsidRPr="003A24C0" w:rsidRDefault="003A24C0" w:rsidP="003A24C0">
      <w:pPr>
        <w:spacing w:after="0" w:line="240" w:lineRule="auto"/>
        <w:outlineLvl w:val="1"/>
        <w:rPr>
          <w:rFonts w:ascii="Helvetica" w:hAnsi="Helvetica"/>
          <w:color w:val="1C1C1C"/>
          <w:sz w:val="28"/>
          <w:szCs w:val="28"/>
          <w:shd w:val="clear" w:color="auto" w:fill="FFFFFF"/>
        </w:rPr>
      </w:pPr>
      <w:r w:rsidRPr="003A24C0">
        <w:rPr>
          <w:rFonts w:ascii="Helvetica" w:hAnsi="Helvetica"/>
          <w:color w:val="1C1C1C"/>
          <w:sz w:val="28"/>
          <w:szCs w:val="28"/>
          <w:shd w:val="clear" w:color="auto" w:fill="FFFFFF"/>
        </w:rPr>
        <w:t>A vascular mechanism has been postulated in the pathogenesis of glaucomatous optic nerve damage; specifically, an inadequate or unstable ocular blood supply causes ischemic damage and/or reperfusion injury to the optic nerve tissue and axons. This vascular concept is support by the reported associations of glaucomatous optic neuropathy with arterial hypertension, arterial hypotension, cardiovascular disease, migraines, vasospasm, and other circulation disorders. </w:t>
      </w:r>
    </w:p>
    <w:p w:rsidR="003A24C0" w:rsidRPr="003A24C0" w:rsidRDefault="003A24C0" w:rsidP="003A24C0">
      <w:pPr>
        <w:spacing w:after="0" w:line="240" w:lineRule="auto"/>
        <w:outlineLvl w:val="1"/>
        <w:rPr>
          <w:rFonts w:ascii="Helvetica" w:hAnsi="Helvetica"/>
          <w:color w:val="1C1C1C"/>
          <w:sz w:val="28"/>
          <w:szCs w:val="28"/>
          <w:shd w:val="clear" w:color="auto" w:fill="FFFFFF"/>
        </w:rPr>
      </w:pPr>
    </w:p>
    <w:p w:rsidR="003A24C0" w:rsidRPr="003A24C0" w:rsidRDefault="003A24C0" w:rsidP="003A24C0">
      <w:pPr>
        <w:spacing w:after="0" w:line="240" w:lineRule="auto"/>
        <w:outlineLvl w:val="1"/>
        <w:rPr>
          <w:rFonts w:ascii="Helvetica" w:eastAsia="Times New Roman" w:hAnsi="Helvetica" w:cs="Times New Roman"/>
          <w:color w:val="202124"/>
          <w:sz w:val="28"/>
          <w:szCs w:val="28"/>
          <w:lang w:eastAsia="en-GB"/>
        </w:rPr>
      </w:pPr>
      <w:r w:rsidRPr="003A24C0">
        <w:rPr>
          <w:rFonts w:ascii="Helvetica" w:eastAsia="Times New Roman" w:hAnsi="Helvetica" w:cs="Times New Roman"/>
          <w:color w:val="202124"/>
          <w:sz w:val="28"/>
          <w:szCs w:val="28"/>
          <w:lang w:eastAsia="en-GB"/>
        </w:rPr>
        <w:t>To describe the distribution of ocular perfusion pressure and its relationship with open-angle glau</w:t>
      </w:r>
      <w:r w:rsidRPr="003A24C0">
        <w:rPr>
          <w:rFonts w:ascii="Helvetica" w:eastAsia="Times New Roman" w:hAnsi="Helvetica" w:cs="Times New Roman"/>
          <w:color w:val="202124"/>
          <w:sz w:val="28"/>
          <w:szCs w:val="28"/>
          <w:lang w:eastAsia="en-GB"/>
        </w:rPr>
        <w:t>coma (OAG) in a local population</w:t>
      </w:r>
    </w:p>
    <w:p w:rsidR="003A24C0" w:rsidRPr="003A24C0" w:rsidRDefault="003A24C0" w:rsidP="003A24C0">
      <w:pPr>
        <w:spacing w:after="0" w:line="240" w:lineRule="auto"/>
        <w:outlineLvl w:val="1"/>
        <w:rPr>
          <w:rFonts w:ascii="Helvetica" w:eastAsia="Times New Roman" w:hAnsi="Helvetica" w:cs="Times New Roman"/>
          <w:color w:val="202124"/>
          <w:sz w:val="28"/>
          <w:szCs w:val="28"/>
          <w:lang w:eastAsia="en-GB"/>
        </w:rPr>
      </w:pPr>
    </w:p>
    <w:p w:rsidR="003A24C0" w:rsidRPr="003A24C0" w:rsidRDefault="003A24C0" w:rsidP="003A24C0">
      <w:pPr>
        <w:spacing w:after="0" w:line="240" w:lineRule="auto"/>
        <w:outlineLvl w:val="1"/>
        <w:rPr>
          <w:rFonts w:ascii="Helvetica" w:eastAsia="Times New Roman" w:hAnsi="Helvetica" w:cs="Times New Roman"/>
          <w:color w:val="202124"/>
          <w:sz w:val="28"/>
          <w:szCs w:val="28"/>
          <w:lang w:eastAsia="en-GB"/>
        </w:rPr>
      </w:pPr>
      <w:r>
        <w:rPr>
          <w:rFonts w:ascii="Helvetica" w:eastAsia="Times New Roman" w:hAnsi="Helvetica" w:cs="Times New Roman"/>
          <w:color w:val="202124"/>
          <w:sz w:val="28"/>
          <w:szCs w:val="28"/>
          <w:lang w:eastAsia="en-GB"/>
        </w:rPr>
        <w:t>Methods</w:t>
      </w:r>
      <w:r w:rsidRPr="003A24C0">
        <w:rPr>
          <w:rFonts w:ascii="Helvetica" w:eastAsia="Times New Roman" w:hAnsi="Helvetica" w:cs="Times New Roman"/>
          <w:color w:val="202124"/>
          <w:sz w:val="28"/>
          <w:szCs w:val="28"/>
          <w:lang w:eastAsia="en-GB"/>
        </w:rPr>
        <w:t>: This was a population-based, cross-sectional study comprising 328</w:t>
      </w:r>
      <w:r w:rsidRPr="003A24C0">
        <w:rPr>
          <w:rFonts w:ascii="Helvetica" w:eastAsia="Times New Roman" w:hAnsi="Helvetica" w:cs="Times New Roman"/>
          <w:color w:val="202124"/>
          <w:sz w:val="28"/>
          <w:szCs w:val="28"/>
          <w:lang w:eastAsia="en-GB"/>
        </w:rPr>
        <w:t>0 (78.7% response) ethnic Arabs</w:t>
      </w:r>
      <w:r w:rsidRPr="003A24C0">
        <w:rPr>
          <w:rFonts w:ascii="Helvetica" w:eastAsia="Times New Roman" w:hAnsi="Helvetica" w:cs="Times New Roman"/>
          <w:color w:val="202124"/>
          <w:sz w:val="28"/>
          <w:szCs w:val="28"/>
          <w:lang w:eastAsia="en-GB"/>
        </w:rPr>
        <w:t xml:space="preserve">. Intraocular pressure (IOP) was measured with </w:t>
      </w:r>
      <w:proofErr w:type="spellStart"/>
      <w:r w:rsidRPr="003A24C0">
        <w:rPr>
          <w:rFonts w:ascii="Helvetica" w:eastAsia="Times New Roman" w:hAnsi="Helvetica" w:cs="Times New Roman"/>
          <w:color w:val="202124"/>
          <w:sz w:val="28"/>
          <w:szCs w:val="28"/>
          <w:lang w:eastAsia="en-GB"/>
        </w:rPr>
        <w:t>Goldmann</w:t>
      </w:r>
      <w:proofErr w:type="spellEnd"/>
      <w:r w:rsidRPr="003A24C0">
        <w:rPr>
          <w:rFonts w:ascii="Helvetica" w:eastAsia="Times New Roman" w:hAnsi="Helvetica" w:cs="Times New Roman"/>
          <w:color w:val="202124"/>
          <w:sz w:val="28"/>
          <w:szCs w:val="28"/>
          <w:lang w:eastAsia="en-GB"/>
        </w:rPr>
        <w:t xml:space="preserve"> </w:t>
      </w:r>
      <w:proofErr w:type="spellStart"/>
      <w:r w:rsidRPr="003A24C0">
        <w:rPr>
          <w:rFonts w:ascii="Helvetica" w:eastAsia="Times New Roman" w:hAnsi="Helvetica" w:cs="Times New Roman"/>
          <w:color w:val="202124"/>
          <w:sz w:val="28"/>
          <w:szCs w:val="28"/>
          <w:lang w:eastAsia="en-GB"/>
        </w:rPr>
        <w:t>applanation</w:t>
      </w:r>
      <w:proofErr w:type="spellEnd"/>
      <w:r w:rsidRPr="003A24C0">
        <w:rPr>
          <w:rFonts w:ascii="Helvetica" w:eastAsia="Times New Roman" w:hAnsi="Helvetica" w:cs="Times New Roman"/>
          <w:color w:val="202124"/>
          <w:sz w:val="28"/>
          <w:szCs w:val="28"/>
          <w:lang w:eastAsia="en-GB"/>
        </w:rPr>
        <w:t xml:space="preserve"> tonometry. Systolic and diastolic blood pressure (SBP and DBP) was measured with a digital automatic blood pressure monitor. Mean ocular per</w:t>
      </w:r>
      <w:r w:rsidRPr="003A24C0">
        <w:rPr>
          <w:rFonts w:ascii="Helvetica" w:eastAsia="Times New Roman" w:hAnsi="Helvetica" w:cs="Times New Roman"/>
          <w:color w:val="202124"/>
          <w:sz w:val="28"/>
          <w:szCs w:val="28"/>
          <w:lang w:eastAsia="en-GB"/>
        </w:rPr>
        <w:t xml:space="preserve">fusion pressure (MOPP) = </w:t>
      </w:r>
      <w:proofErr w:type="gramStart"/>
      <w:r w:rsidRPr="003A24C0">
        <w:rPr>
          <w:rFonts w:ascii="Helvetica" w:eastAsia="Times New Roman" w:hAnsi="Helvetica" w:cs="Times New Roman"/>
          <w:color w:val="202124"/>
          <w:sz w:val="28"/>
          <w:szCs w:val="28"/>
          <w:lang w:eastAsia="en-GB"/>
        </w:rPr>
        <w:t>⅔(</w:t>
      </w:r>
      <w:proofErr w:type="gramEnd"/>
      <w:r w:rsidRPr="003A24C0">
        <w:rPr>
          <w:rFonts w:ascii="Helvetica" w:eastAsia="Times New Roman" w:hAnsi="Helvetica" w:cs="Times New Roman"/>
          <w:color w:val="202124"/>
          <w:sz w:val="28"/>
          <w:szCs w:val="28"/>
          <w:lang w:eastAsia="en-GB"/>
        </w:rPr>
        <w:t>mean.</w:t>
      </w:r>
    </w:p>
    <w:p w:rsidR="003A24C0" w:rsidRPr="003A24C0" w:rsidRDefault="003A24C0" w:rsidP="003A24C0">
      <w:pPr>
        <w:spacing w:after="0" w:line="240" w:lineRule="auto"/>
        <w:outlineLvl w:val="1"/>
        <w:rPr>
          <w:rFonts w:ascii="Helvetica" w:eastAsia="Times New Roman" w:hAnsi="Helvetica" w:cs="Times New Roman"/>
          <w:color w:val="202124"/>
          <w:sz w:val="28"/>
          <w:szCs w:val="28"/>
          <w:lang w:eastAsia="en-GB"/>
        </w:rPr>
      </w:pPr>
    </w:p>
    <w:p w:rsidR="003A24C0" w:rsidRPr="003A24C0" w:rsidRDefault="003A24C0" w:rsidP="003A24C0">
      <w:pPr>
        <w:spacing w:after="0" w:line="240" w:lineRule="auto"/>
        <w:outlineLvl w:val="1"/>
        <w:rPr>
          <w:rFonts w:ascii="Helvetica" w:eastAsia="Times New Roman" w:hAnsi="Helvetica" w:cs="Times New Roman"/>
          <w:color w:val="202124"/>
          <w:sz w:val="28"/>
          <w:szCs w:val="28"/>
          <w:lang w:eastAsia="en-GB"/>
        </w:rPr>
      </w:pPr>
    </w:p>
    <w:p w:rsidR="003A24C0" w:rsidRDefault="003A24C0" w:rsidP="003A24C0">
      <w:pPr>
        <w:pStyle w:val="NormalWeb"/>
        <w:rPr>
          <w:rFonts w:ascii="Helvetica" w:hAnsi="Helvetica"/>
          <w:color w:val="1C1C1C"/>
          <w:sz w:val="28"/>
          <w:szCs w:val="28"/>
        </w:rPr>
      </w:pPr>
      <w:r w:rsidRPr="003A24C0">
        <w:rPr>
          <w:rFonts w:ascii="Helvetica" w:hAnsi="Helvetica"/>
          <w:b/>
          <w:bCs/>
          <w:color w:val="1C1C1C"/>
          <w:sz w:val="28"/>
          <w:szCs w:val="28"/>
        </w:rPr>
        <w:t>Results</w:t>
      </w:r>
      <w:r w:rsidRPr="003A24C0">
        <w:rPr>
          <w:rFonts w:ascii="Helvetica" w:hAnsi="Helvetica"/>
          <w:color w:val="1C1C1C"/>
          <w:sz w:val="28"/>
          <w:szCs w:val="28"/>
        </w:rPr>
        <w:t>: </w:t>
      </w:r>
    </w:p>
    <w:p w:rsidR="003A24C0" w:rsidRDefault="003A24C0" w:rsidP="003A24C0">
      <w:pPr>
        <w:pStyle w:val="NormalWeb"/>
        <w:rPr>
          <w:rFonts w:ascii="Helvetica" w:hAnsi="Helvetica"/>
          <w:color w:val="1C1C1C"/>
          <w:sz w:val="28"/>
          <w:szCs w:val="28"/>
        </w:rPr>
      </w:pPr>
      <w:r w:rsidRPr="003A24C0">
        <w:rPr>
          <w:rFonts w:ascii="Helvetica" w:hAnsi="Helvetica"/>
          <w:color w:val="1C1C1C"/>
          <w:sz w:val="28"/>
          <w:szCs w:val="28"/>
        </w:rPr>
        <w:t xml:space="preserve">A total of 3261 persons (mean age, 58.7 ± 11 years, including 131 [4.0%] cases of OAG) were available for analyses. Among persons without glaucoma, the mean ± SD IOP, MOPP, SPP, and DPP were 15.3 ± 3.5, 52.8 ± 9.3, 131.5 ± 23.3, and 64.5 ± 11.3 mm Hg, respectively. </w:t>
      </w:r>
    </w:p>
    <w:p w:rsidR="003A24C0" w:rsidRPr="003A24C0" w:rsidRDefault="003A24C0" w:rsidP="003A24C0">
      <w:pPr>
        <w:pStyle w:val="NormalWeb"/>
        <w:rPr>
          <w:rFonts w:ascii="Helvetica" w:hAnsi="Helvetica"/>
          <w:color w:val="1C1C1C"/>
          <w:sz w:val="28"/>
          <w:szCs w:val="28"/>
        </w:rPr>
      </w:pPr>
      <w:r w:rsidRPr="003A24C0">
        <w:rPr>
          <w:rFonts w:ascii="Helvetica" w:hAnsi="Helvetica"/>
          <w:color w:val="1C1C1C"/>
          <w:sz w:val="28"/>
          <w:szCs w:val="28"/>
        </w:rPr>
        <w:t xml:space="preserve">Among persons with OAG, the corresponding values were 16.8 ± 5.9, 51.6 ± 10.2, 134.5 ± 24.6, and 61.4 ± 11.5 mm Hg, respectively. In </w:t>
      </w:r>
      <w:r w:rsidRPr="003A24C0">
        <w:rPr>
          <w:rFonts w:ascii="Helvetica" w:hAnsi="Helvetica"/>
          <w:color w:val="1C1C1C"/>
          <w:sz w:val="28"/>
          <w:szCs w:val="28"/>
        </w:rPr>
        <w:lastRenderedPageBreak/>
        <w:t>multiple logistic regression models adjusting for IOP, age, sex, and IOP- and BP-lowering treatments, OAG risk was significantly higher in participants with DBP, MOPP, or DPP in the lowest quartile (Q1) than in participants in the highest quartile (Q4) (Q1 vs. Q4: odds ratio [OR], 1.71 [95% confidence interval (CI), 1.04–2.96] for DBP; OR, 1.73 [95% CI, 1.05–3.15] for MOPP; OR, 1.75 [95% CI, 1.02–3.01] for DPP).</w:t>
      </w:r>
    </w:p>
    <w:p w:rsidR="003A24C0" w:rsidRDefault="003A24C0" w:rsidP="003A24C0">
      <w:pPr>
        <w:pStyle w:val="NormalWeb"/>
        <w:rPr>
          <w:rFonts w:ascii="Helvetica" w:hAnsi="Helvetica"/>
          <w:color w:val="1C1C1C"/>
          <w:sz w:val="28"/>
          <w:szCs w:val="28"/>
        </w:rPr>
      </w:pPr>
      <w:r w:rsidRPr="003A24C0">
        <w:rPr>
          <w:rFonts w:ascii="Helvetica" w:hAnsi="Helvetica"/>
          <w:b/>
          <w:bCs/>
          <w:color w:val="1C1C1C"/>
          <w:sz w:val="28"/>
          <w:szCs w:val="28"/>
        </w:rPr>
        <w:t>Conclusions</w:t>
      </w:r>
      <w:r w:rsidRPr="003A24C0">
        <w:rPr>
          <w:rFonts w:ascii="Helvetica" w:hAnsi="Helvetica"/>
          <w:color w:val="1C1C1C"/>
          <w:sz w:val="28"/>
          <w:szCs w:val="28"/>
        </w:rPr>
        <w:t>:</w:t>
      </w:r>
    </w:p>
    <w:p w:rsidR="003A24C0" w:rsidRDefault="003A24C0" w:rsidP="003A24C0">
      <w:pPr>
        <w:pStyle w:val="NormalWeb"/>
        <w:rPr>
          <w:rFonts w:ascii="Helvetica" w:hAnsi="Helvetica"/>
          <w:color w:val="1C1C1C"/>
          <w:sz w:val="28"/>
          <w:szCs w:val="28"/>
        </w:rPr>
      </w:pPr>
      <w:r w:rsidRPr="003A24C0">
        <w:rPr>
          <w:rFonts w:ascii="Helvetica" w:hAnsi="Helvetica"/>
          <w:color w:val="1C1C1C"/>
          <w:sz w:val="28"/>
          <w:szCs w:val="28"/>
        </w:rPr>
        <w:t> Low DBP, low MOPP, and low DPP are independent risk factors for OAG in ethnic Malays, providing further evidence of a vascular mechanism in glaucoma pathogenesis across different populations.</w:t>
      </w:r>
    </w:p>
    <w:p w:rsidR="00C259A6" w:rsidRDefault="003A24C0" w:rsidP="003A24C0">
      <w:pPr>
        <w:pStyle w:val="NormalWeb"/>
        <w:rPr>
          <w:rFonts w:ascii="Helvetica" w:hAnsi="Helvetica"/>
          <w:b/>
          <w:color w:val="1C1C1C"/>
          <w:sz w:val="28"/>
          <w:szCs w:val="28"/>
        </w:rPr>
      </w:pPr>
      <w:r w:rsidRPr="003A24C0">
        <w:rPr>
          <w:rFonts w:ascii="Helvetica" w:hAnsi="Helvetica"/>
          <w:b/>
          <w:color w:val="1C1C1C"/>
          <w:sz w:val="28"/>
          <w:szCs w:val="28"/>
        </w:rPr>
        <w:t xml:space="preserve">Key </w:t>
      </w:r>
      <w:proofErr w:type="gramStart"/>
      <w:r w:rsidRPr="003A24C0">
        <w:rPr>
          <w:rFonts w:ascii="Helvetica" w:hAnsi="Helvetica"/>
          <w:b/>
          <w:color w:val="1C1C1C"/>
          <w:sz w:val="28"/>
          <w:szCs w:val="28"/>
        </w:rPr>
        <w:t>Words :</w:t>
      </w:r>
      <w:proofErr w:type="gramEnd"/>
      <w:r w:rsidRPr="003A24C0">
        <w:rPr>
          <w:rFonts w:ascii="Helvetica" w:hAnsi="Helvetica"/>
          <w:b/>
          <w:color w:val="1C1C1C"/>
          <w:sz w:val="28"/>
          <w:szCs w:val="28"/>
        </w:rPr>
        <w:t xml:space="preserve"> </w:t>
      </w:r>
      <w:r>
        <w:rPr>
          <w:rFonts w:ascii="Helvetica" w:hAnsi="Helvetica"/>
          <w:b/>
          <w:color w:val="1C1C1C"/>
          <w:sz w:val="28"/>
          <w:szCs w:val="28"/>
        </w:rPr>
        <w:t xml:space="preserve"> </w:t>
      </w:r>
    </w:p>
    <w:p w:rsidR="003A24C0" w:rsidRDefault="003A24C0" w:rsidP="003A24C0">
      <w:pPr>
        <w:pStyle w:val="NormalWeb"/>
        <w:rPr>
          <w:rFonts w:ascii="Helvetica" w:hAnsi="Helvetica"/>
          <w:color w:val="1C1C1C"/>
          <w:sz w:val="28"/>
          <w:szCs w:val="28"/>
        </w:rPr>
      </w:pPr>
      <w:r w:rsidRPr="00C259A6">
        <w:rPr>
          <w:rFonts w:ascii="Helvetica" w:hAnsi="Helvetica"/>
          <w:color w:val="1C1C1C"/>
          <w:sz w:val="28"/>
          <w:szCs w:val="28"/>
        </w:rPr>
        <w:t>Glaucoma, Ocular perfusion Pressure, Systolic blood pressure, Diastolic blood pressure</w:t>
      </w:r>
    </w:p>
    <w:p w:rsidR="00C259A6" w:rsidRDefault="00C259A6" w:rsidP="003A24C0">
      <w:pPr>
        <w:pStyle w:val="NormalWeb"/>
        <w:rPr>
          <w:rFonts w:ascii="Helvetica" w:hAnsi="Helvetica"/>
          <w:color w:val="1C1C1C"/>
          <w:sz w:val="28"/>
          <w:szCs w:val="28"/>
        </w:rPr>
      </w:pPr>
    </w:p>
    <w:p w:rsidR="00C259A6" w:rsidRDefault="00C259A6" w:rsidP="00C259A6">
      <w:pPr>
        <w:rPr>
          <w:i/>
          <w:iCs/>
          <w:sz w:val="24"/>
          <w:szCs w:val="24"/>
        </w:rPr>
      </w:pPr>
      <w:r w:rsidRPr="00131B2E">
        <w:rPr>
          <w:i/>
          <w:iCs/>
          <w:sz w:val="24"/>
          <w:szCs w:val="24"/>
        </w:rPr>
        <w:t>Presenting author details</w:t>
      </w:r>
    </w:p>
    <w:p w:rsidR="00C259A6" w:rsidRPr="00131B2E" w:rsidRDefault="00C259A6" w:rsidP="00C259A6">
      <w:pPr>
        <w:rPr>
          <w:b/>
          <w:bCs/>
          <w:i/>
          <w:iCs/>
          <w:sz w:val="24"/>
          <w:szCs w:val="24"/>
        </w:rPr>
      </w:pPr>
      <w:r>
        <w:rPr>
          <w:i/>
          <w:iCs/>
          <w:sz w:val="24"/>
          <w:szCs w:val="24"/>
        </w:rPr>
        <w:t xml:space="preserve">Full Name   </w:t>
      </w:r>
      <w:r w:rsidRPr="00131B2E">
        <w:rPr>
          <w:b/>
          <w:bCs/>
          <w:i/>
          <w:iCs/>
          <w:sz w:val="24"/>
          <w:szCs w:val="24"/>
        </w:rPr>
        <w:t>DR.SHABBIR SAIFUDDIN</w:t>
      </w:r>
    </w:p>
    <w:p w:rsidR="00C259A6" w:rsidRPr="00131B2E" w:rsidRDefault="00C259A6" w:rsidP="00C259A6">
      <w:pPr>
        <w:rPr>
          <w:b/>
          <w:bCs/>
          <w:i/>
          <w:iCs/>
          <w:sz w:val="24"/>
          <w:szCs w:val="24"/>
        </w:rPr>
      </w:pPr>
      <w:r>
        <w:rPr>
          <w:i/>
          <w:iCs/>
          <w:sz w:val="24"/>
          <w:szCs w:val="24"/>
        </w:rPr>
        <w:t xml:space="preserve">Contact NO. </w:t>
      </w:r>
      <w:r w:rsidRPr="00131B2E">
        <w:rPr>
          <w:b/>
          <w:bCs/>
          <w:i/>
          <w:iCs/>
          <w:sz w:val="24"/>
          <w:szCs w:val="24"/>
        </w:rPr>
        <w:t>00971-5856560</w:t>
      </w:r>
    </w:p>
    <w:p w:rsidR="00C259A6" w:rsidRDefault="00C259A6" w:rsidP="00C259A6">
      <w:pPr>
        <w:rPr>
          <w:i/>
          <w:iCs/>
          <w:sz w:val="24"/>
          <w:szCs w:val="24"/>
        </w:rPr>
      </w:pPr>
      <w:proofErr w:type="gramStart"/>
      <w:r>
        <w:rPr>
          <w:i/>
          <w:iCs/>
          <w:sz w:val="24"/>
          <w:szCs w:val="24"/>
        </w:rPr>
        <w:t>e-mail</w:t>
      </w:r>
      <w:proofErr w:type="gramEnd"/>
      <w:r>
        <w:rPr>
          <w:i/>
          <w:iCs/>
          <w:sz w:val="24"/>
          <w:szCs w:val="24"/>
        </w:rPr>
        <w:t xml:space="preserve">   </w:t>
      </w:r>
      <w:r w:rsidRPr="00131B2E">
        <w:rPr>
          <w:b/>
          <w:bCs/>
          <w:i/>
          <w:iCs/>
          <w:sz w:val="24"/>
          <w:szCs w:val="24"/>
        </w:rPr>
        <w:t>- tasmooon@gamil.com</w:t>
      </w:r>
    </w:p>
    <w:p w:rsidR="00C259A6" w:rsidRPr="00131B2E" w:rsidRDefault="00C259A6" w:rsidP="00C259A6">
      <w:pPr>
        <w:rPr>
          <w:b/>
          <w:bCs/>
          <w:i/>
          <w:iCs/>
          <w:sz w:val="24"/>
          <w:szCs w:val="24"/>
        </w:rPr>
      </w:pPr>
      <w:r>
        <w:rPr>
          <w:i/>
          <w:iCs/>
          <w:sz w:val="24"/>
          <w:szCs w:val="24"/>
        </w:rPr>
        <w:t xml:space="preserve">Category – </w:t>
      </w:r>
      <w:r w:rsidRPr="00131B2E">
        <w:rPr>
          <w:b/>
          <w:bCs/>
          <w:i/>
          <w:iCs/>
          <w:sz w:val="24"/>
          <w:szCs w:val="24"/>
        </w:rPr>
        <w:t>Poster presentation</w:t>
      </w:r>
    </w:p>
    <w:p w:rsidR="00C259A6" w:rsidRDefault="00C259A6" w:rsidP="00C259A6">
      <w:pPr>
        <w:rPr>
          <w:i/>
          <w:iCs/>
          <w:sz w:val="24"/>
          <w:szCs w:val="24"/>
        </w:rPr>
      </w:pPr>
      <w:r>
        <w:rPr>
          <w:i/>
          <w:iCs/>
          <w:sz w:val="24"/>
          <w:szCs w:val="24"/>
        </w:rPr>
        <w:t>Biography</w:t>
      </w:r>
    </w:p>
    <w:p w:rsidR="00C259A6" w:rsidRDefault="00C259A6" w:rsidP="00C259A6">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C259A6" w:rsidRDefault="00C259A6" w:rsidP="003A24C0">
      <w:pPr>
        <w:pStyle w:val="NormalWeb"/>
        <w:rPr>
          <w:rFonts w:ascii="Helvetica" w:hAnsi="Helvetica"/>
          <w:color w:val="1C1C1C"/>
          <w:sz w:val="28"/>
          <w:szCs w:val="28"/>
        </w:rPr>
      </w:pPr>
      <w:r w:rsidRPr="006636C0">
        <w:rPr>
          <w:b/>
          <w:bCs/>
          <w:i/>
          <w:iCs/>
          <w:noProof/>
        </w:rPr>
        <w:drawing>
          <wp:inline distT="0" distB="0" distL="0" distR="0" wp14:anchorId="5F68CE06" wp14:editId="52B4A3F4">
            <wp:extent cx="1362075" cy="1724025"/>
            <wp:effectExtent l="0" t="0" r="9525"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2075" cy="1724025"/>
                    </a:xfrm>
                    <a:prstGeom prst="rect">
                      <a:avLst/>
                    </a:prstGeom>
                    <a:noFill/>
                    <a:ln>
                      <a:noFill/>
                    </a:ln>
                  </pic:spPr>
                </pic:pic>
              </a:graphicData>
            </a:graphic>
          </wp:inline>
        </w:drawing>
      </w:r>
    </w:p>
    <w:p w:rsidR="00C259A6" w:rsidRPr="00C259A6" w:rsidRDefault="00C259A6" w:rsidP="003A24C0">
      <w:pPr>
        <w:pStyle w:val="NormalWeb"/>
        <w:rPr>
          <w:rFonts w:ascii="Helvetica" w:hAnsi="Helvetica"/>
          <w:color w:val="1C1C1C"/>
          <w:sz w:val="28"/>
          <w:szCs w:val="28"/>
        </w:rPr>
      </w:pPr>
    </w:p>
    <w:p w:rsidR="000D423F" w:rsidRPr="00C259A6" w:rsidRDefault="000D423F">
      <w:pPr>
        <w:rPr>
          <w:sz w:val="28"/>
          <w:szCs w:val="28"/>
        </w:rPr>
      </w:pPr>
    </w:p>
    <w:sectPr w:rsidR="000D423F" w:rsidRPr="00C259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4C0"/>
    <w:rsid w:val="000D423F"/>
    <w:rsid w:val="003A24C0"/>
    <w:rsid w:val="00B87D0F"/>
    <w:rsid w:val="00C25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B8CEF-85EB-4224-92E9-FCFFC8822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24C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334557">
      <w:bodyDiv w:val="1"/>
      <w:marLeft w:val="0"/>
      <w:marRight w:val="0"/>
      <w:marTop w:val="0"/>
      <w:marBottom w:val="0"/>
      <w:divBdr>
        <w:top w:val="none" w:sz="0" w:space="0" w:color="auto"/>
        <w:left w:val="none" w:sz="0" w:space="0" w:color="auto"/>
        <w:bottom w:val="none" w:sz="0" w:space="0" w:color="auto"/>
        <w:right w:val="none" w:sz="0" w:space="0" w:color="auto"/>
      </w:divBdr>
    </w:div>
    <w:div w:id="146808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2019-12-07T15:46:00Z</dcterms:created>
  <dcterms:modified xsi:type="dcterms:W3CDTF">2019-12-07T16:00:00Z</dcterms:modified>
</cp:coreProperties>
</file>