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8763E" w:rsidRDefault="0038763E" w:rsidP="0038763E">
      <w:pPr>
        <w:autoSpaceDE w:val="0"/>
        <w:autoSpaceDN w:val="0"/>
        <w:adjustRightInd w:val="0"/>
        <w:spacing w:after="0" w:line="360" w:lineRule="auto"/>
        <w:jc w:val="center"/>
        <w:rPr>
          <w:rFonts w:eastAsia="ArialUnicodeMS" w:cs="ArialUnicodeMS"/>
          <w:b/>
          <w:bCs/>
          <w:color w:val="333666"/>
          <w:sz w:val="32"/>
          <w:szCs w:val="32"/>
          <w:u w:val="single"/>
        </w:rPr>
      </w:pPr>
      <w:r>
        <w:rPr>
          <w:rFonts w:eastAsia="ArialUnicodeMS" w:cs="ArialUnicodeMS"/>
          <w:b/>
          <w:bCs/>
          <w:color w:val="333666"/>
          <w:sz w:val="32"/>
          <w:szCs w:val="32"/>
          <w:u w:val="single"/>
        </w:rPr>
        <w:t>TITLE</w:t>
      </w:r>
    </w:p>
    <w:p w:rsidR="0038763E" w:rsidRDefault="0038763E" w:rsidP="0038763E">
      <w:pPr>
        <w:autoSpaceDE w:val="0"/>
        <w:autoSpaceDN w:val="0"/>
        <w:adjustRightInd w:val="0"/>
        <w:spacing w:after="0" w:line="360" w:lineRule="auto"/>
        <w:jc w:val="center"/>
        <w:rPr>
          <w:rFonts w:eastAsia="ArialUnicodeMS" w:cs="ArialUnicodeMS"/>
          <w:b/>
          <w:bCs/>
          <w:color w:val="333666"/>
          <w:sz w:val="32"/>
          <w:szCs w:val="32"/>
          <w:u w:val="single"/>
        </w:rPr>
      </w:pPr>
      <w:r w:rsidRPr="0038763E">
        <w:rPr>
          <w:rFonts w:eastAsia="ArialUnicodeMS" w:cs="ArialUnicodeMS"/>
          <w:b/>
          <w:bCs/>
          <w:color w:val="333666"/>
          <w:sz w:val="32"/>
          <w:szCs w:val="32"/>
          <w:u w:val="single"/>
        </w:rPr>
        <w:t>Immune-evasion conferring mutations associated with cases of brea</w:t>
      </w:r>
      <w:r w:rsidRPr="0038763E">
        <w:rPr>
          <w:rFonts w:eastAsia="ArialUnicodeMS" w:cs="ArialUnicodeMS"/>
          <w:b/>
          <w:bCs/>
          <w:color w:val="333666"/>
          <w:sz w:val="32"/>
          <w:szCs w:val="32"/>
          <w:u w:val="single"/>
        </w:rPr>
        <w:t xml:space="preserve">kthrough </w:t>
      </w:r>
      <w:r w:rsidRPr="0038763E">
        <w:rPr>
          <w:rFonts w:eastAsia="ArialUnicodeMS" w:cs="ArialUnicodeMS"/>
          <w:b/>
          <w:bCs/>
          <w:color w:val="333666"/>
          <w:sz w:val="32"/>
          <w:szCs w:val="32"/>
          <w:u w:val="single"/>
        </w:rPr>
        <w:t>SARSCoV2</w:t>
      </w:r>
      <w:r w:rsidRPr="0038763E">
        <w:rPr>
          <w:rFonts w:eastAsia="ArialUnicodeMS" w:cs="ArialUnicodeMS"/>
          <w:b/>
          <w:bCs/>
          <w:color w:val="333666"/>
          <w:sz w:val="32"/>
          <w:szCs w:val="32"/>
          <w:u w:val="single"/>
        </w:rPr>
        <w:t xml:space="preserve"> </w:t>
      </w:r>
      <w:r w:rsidRPr="0038763E">
        <w:rPr>
          <w:rFonts w:eastAsia="ArialUnicodeMS" w:cs="ArialUnicodeMS"/>
          <w:b/>
          <w:bCs/>
          <w:color w:val="333666"/>
          <w:sz w:val="32"/>
          <w:szCs w:val="32"/>
          <w:u w:val="single"/>
        </w:rPr>
        <w:t>infection among walk-in patients</w:t>
      </w:r>
    </w:p>
    <w:p w:rsidR="0038763E" w:rsidRPr="0038763E" w:rsidRDefault="0038763E" w:rsidP="0038763E">
      <w:pPr>
        <w:autoSpaceDE w:val="0"/>
        <w:autoSpaceDN w:val="0"/>
        <w:adjustRightInd w:val="0"/>
        <w:spacing w:after="0" w:line="360" w:lineRule="auto"/>
        <w:jc w:val="center"/>
        <w:rPr>
          <w:rFonts w:eastAsia="ArialUnicodeMS" w:cs="ArialUnicodeMS"/>
          <w:b/>
          <w:bCs/>
          <w:color w:val="333666"/>
          <w:sz w:val="32"/>
          <w:szCs w:val="32"/>
          <w:u w:val="single"/>
        </w:rPr>
      </w:pPr>
    </w:p>
    <w:p w:rsidR="0038763E" w:rsidRPr="0038763E" w:rsidRDefault="0038763E" w:rsidP="0038763E">
      <w:pPr>
        <w:autoSpaceDE w:val="0"/>
        <w:autoSpaceDN w:val="0"/>
        <w:adjustRightInd w:val="0"/>
        <w:spacing w:after="0" w:line="360" w:lineRule="auto"/>
        <w:jc w:val="both"/>
        <w:rPr>
          <w:sz w:val="24"/>
          <w:szCs w:val="24"/>
        </w:rPr>
      </w:pPr>
      <w:r w:rsidRPr="0038763E">
        <w:rPr>
          <w:rFonts w:eastAsia="ArialUnicodeMS" w:cs="ArialUnicodeMS"/>
          <w:b/>
          <w:bCs/>
          <w:color w:val="333666"/>
          <w:sz w:val="28"/>
          <w:szCs w:val="28"/>
        </w:rPr>
        <w:t>Abstract:</w:t>
      </w:r>
      <w:r>
        <w:rPr>
          <w:rFonts w:eastAsia="ArialUnicodeMS" w:cs="ArialUnicodeMS"/>
          <w:b/>
          <w:bCs/>
          <w:color w:val="333666"/>
          <w:sz w:val="28"/>
          <w:szCs w:val="28"/>
        </w:rPr>
        <w:t xml:space="preserve"> </w:t>
      </w:r>
      <w:r w:rsidRPr="0038763E">
        <w:rPr>
          <w:sz w:val="24"/>
          <w:szCs w:val="24"/>
        </w:rPr>
        <w:t xml:space="preserve">India recently faced a devastating second outbreak of COVID-19 infection, in which a majority of the viral sequences were found to be of the B.1.617.2 lineage. While India and the world focused on vaccination, reports of vaccine evasion by the virus, termed “breakthrough cases”, emerged worldwide. </w:t>
      </w:r>
      <w:bookmarkStart w:id="0" w:name="_GoBack"/>
      <w:bookmarkEnd w:id="0"/>
    </w:p>
    <w:p w:rsidR="00F36BD0" w:rsidRPr="0038763E" w:rsidRDefault="0038763E" w:rsidP="0038763E">
      <w:pPr>
        <w:spacing w:line="360" w:lineRule="auto"/>
        <w:jc w:val="both"/>
        <w:rPr>
          <w:sz w:val="24"/>
          <w:szCs w:val="24"/>
        </w:rPr>
      </w:pPr>
      <w:r w:rsidRPr="0038763E">
        <w:rPr>
          <w:sz w:val="24"/>
          <w:szCs w:val="24"/>
        </w:rPr>
        <w:t xml:space="preserve">We </w:t>
      </w:r>
      <w:proofErr w:type="spellStart"/>
      <w:r w:rsidRPr="0038763E">
        <w:rPr>
          <w:sz w:val="24"/>
          <w:szCs w:val="24"/>
        </w:rPr>
        <w:t>analysed</w:t>
      </w:r>
      <w:proofErr w:type="spellEnd"/>
      <w:r w:rsidRPr="0038763E">
        <w:rPr>
          <w:sz w:val="24"/>
          <w:szCs w:val="24"/>
        </w:rPr>
        <w:t xml:space="preserve"> whole genome sequences of 150 SARS CoV2 viral samples isolated at our laboratory. We retrospectively found 9 cases of breakthrough infection, five of whom were fully, and four partially vaccinated. We followed up these patients and can report that the variant lineages associated with these cases were B.1.617, B.1, and A. The mutations seen in these sequences in the Spike and ORF </w:t>
      </w:r>
      <w:r w:rsidRPr="0038763E">
        <w:rPr>
          <w:sz w:val="24"/>
          <w:szCs w:val="24"/>
        </w:rPr>
        <w:t>regions</w:t>
      </w:r>
      <w:r w:rsidRPr="0038763E">
        <w:rPr>
          <w:sz w:val="24"/>
          <w:szCs w:val="24"/>
        </w:rPr>
        <w:t xml:space="preserve"> would have produced amino acid changes known to improve viral replication, confer drug resistance, influence host-cell interaction, and lead to antigenic drift. Increased virulence culminating in vaccine evasion may be inferred from these mutations.</w:t>
      </w:r>
      <w:r w:rsidRPr="0038763E">
        <w:rPr>
          <w:sz w:val="24"/>
          <w:szCs w:val="24"/>
        </w:rPr>
        <w:t xml:space="preserve"> </w:t>
      </w:r>
      <w:r w:rsidRPr="0038763E">
        <w:rPr>
          <w:sz w:val="24"/>
          <w:szCs w:val="24"/>
        </w:rPr>
        <w:t xml:space="preserve">India recently faced a devastating second outbreak of COVID-19 infection, in which a majority of the viral sequences were found to be of the B.1.617.2 lineage. While India and the world focused on vaccination, reports of vaccine evasion by the virus, termed “breakthrough cases”, emerged worldwide. </w:t>
      </w:r>
    </w:p>
    <w:p w:rsidR="0038763E" w:rsidRPr="0038763E" w:rsidRDefault="0038763E" w:rsidP="0038763E">
      <w:pPr>
        <w:autoSpaceDE w:val="0"/>
        <w:autoSpaceDN w:val="0"/>
        <w:adjustRightInd w:val="0"/>
        <w:spacing w:after="0" w:line="360" w:lineRule="auto"/>
        <w:jc w:val="both"/>
        <w:rPr>
          <w:rFonts w:cs="Times New Roman"/>
          <w:sz w:val="24"/>
          <w:szCs w:val="24"/>
        </w:rPr>
      </w:pPr>
      <w:r w:rsidRPr="0038763E">
        <w:rPr>
          <w:rFonts w:cs="Times New Roman"/>
          <w:sz w:val="24"/>
          <w:szCs w:val="24"/>
        </w:rPr>
        <w:t>We isolated mRNA from SARS-CoV2 samples and o</w:t>
      </w:r>
      <w:r>
        <w:rPr>
          <w:rFonts w:cs="Times New Roman"/>
          <w:sz w:val="24"/>
          <w:szCs w:val="24"/>
        </w:rPr>
        <w:t xml:space="preserve">utsourced them for whole genome </w:t>
      </w:r>
      <w:r w:rsidRPr="0038763E">
        <w:rPr>
          <w:rFonts w:cs="Times New Roman"/>
          <w:sz w:val="24"/>
          <w:szCs w:val="24"/>
        </w:rPr>
        <w:t>sequencing. We noticed that nine individuals had been fully (two</w:t>
      </w:r>
      <w:r>
        <w:rPr>
          <w:rFonts w:cs="Times New Roman"/>
          <w:sz w:val="24"/>
          <w:szCs w:val="24"/>
        </w:rPr>
        <w:t xml:space="preserve"> doses of vaccine) or partially </w:t>
      </w:r>
      <w:r w:rsidRPr="0038763E">
        <w:rPr>
          <w:rFonts w:cs="Times New Roman"/>
          <w:sz w:val="24"/>
          <w:szCs w:val="24"/>
        </w:rPr>
        <w:t>(one dose) vaccinated at least 14 days before infection. When we examined the seque</w:t>
      </w:r>
      <w:r>
        <w:rPr>
          <w:rFonts w:cs="Times New Roman"/>
          <w:sz w:val="24"/>
          <w:szCs w:val="24"/>
        </w:rPr>
        <w:t xml:space="preserve">nces from </w:t>
      </w:r>
      <w:r w:rsidRPr="0038763E">
        <w:rPr>
          <w:rFonts w:cs="Times New Roman"/>
          <w:sz w:val="24"/>
          <w:szCs w:val="24"/>
        </w:rPr>
        <w:t>these individuals, we found amino acid changes in the spi</w:t>
      </w:r>
      <w:r>
        <w:rPr>
          <w:rFonts w:cs="Times New Roman"/>
          <w:sz w:val="24"/>
          <w:szCs w:val="24"/>
        </w:rPr>
        <w:t xml:space="preserve">ke and NSP proteins, which were </w:t>
      </w:r>
      <w:r w:rsidRPr="0038763E">
        <w:rPr>
          <w:rFonts w:cs="Times New Roman"/>
          <w:sz w:val="24"/>
          <w:szCs w:val="24"/>
        </w:rPr>
        <w:t>predicted to confer increased virulence upon the virus. We repor</w:t>
      </w:r>
      <w:r>
        <w:rPr>
          <w:rFonts w:cs="Times New Roman"/>
          <w:sz w:val="24"/>
          <w:szCs w:val="24"/>
        </w:rPr>
        <w:t xml:space="preserve">t the presence of three strains </w:t>
      </w:r>
      <w:r w:rsidRPr="0038763E">
        <w:rPr>
          <w:rFonts w:cs="Times New Roman"/>
          <w:sz w:val="24"/>
          <w:szCs w:val="24"/>
        </w:rPr>
        <w:t>in the breakthrough cases; A, B.1, and B.1.617 (</w:t>
      </w:r>
      <w:proofErr w:type="spellStart"/>
      <w:r w:rsidRPr="0038763E">
        <w:rPr>
          <w:rFonts w:cs="Times New Roman"/>
          <w:sz w:val="24"/>
          <w:szCs w:val="24"/>
        </w:rPr>
        <w:t>Nextstrain</w:t>
      </w:r>
      <w:proofErr w:type="spellEnd"/>
      <w:r w:rsidRPr="0038763E">
        <w:rPr>
          <w:rFonts w:cs="Times New Roman"/>
          <w:sz w:val="24"/>
          <w:szCs w:val="24"/>
        </w:rPr>
        <w:t xml:space="preserve"> Cl</w:t>
      </w:r>
      <w:r>
        <w:rPr>
          <w:rFonts w:cs="Times New Roman"/>
          <w:sz w:val="24"/>
          <w:szCs w:val="24"/>
        </w:rPr>
        <w:t xml:space="preserve">ade G). We found one mutation, </w:t>
      </w:r>
      <w:r w:rsidRPr="0038763E">
        <w:rPr>
          <w:rFonts w:cs="Times New Roman"/>
          <w:sz w:val="24"/>
          <w:szCs w:val="24"/>
        </w:rPr>
        <w:t>NSP6 T77A, that was present in both A and B.1 strains in the</w:t>
      </w:r>
      <w:r>
        <w:rPr>
          <w:rFonts w:cs="Times New Roman"/>
          <w:sz w:val="24"/>
          <w:szCs w:val="24"/>
        </w:rPr>
        <w:t xml:space="preserve"> breakthrough cases, but not in </w:t>
      </w:r>
      <w:r w:rsidRPr="0038763E">
        <w:rPr>
          <w:rFonts w:cs="Times New Roman"/>
          <w:sz w:val="24"/>
          <w:szCs w:val="24"/>
        </w:rPr>
        <w:t xml:space="preserve">other A and B.1 strains isolated at our lab, from patients of </w:t>
      </w:r>
      <w:r>
        <w:rPr>
          <w:rFonts w:cs="Times New Roman"/>
          <w:sz w:val="24"/>
          <w:szCs w:val="24"/>
        </w:rPr>
        <w:t xml:space="preserve">the same city. Additionally, we </w:t>
      </w:r>
      <w:r w:rsidRPr="0038763E">
        <w:rPr>
          <w:rFonts w:cs="Times New Roman"/>
          <w:sz w:val="24"/>
          <w:szCs w:val="24"/>
        </w:rPr>
        <w:lastRenderedPageBreak/>
        <w:t>found multiple changes in the non-structural NSP prot</w:t>
      </w:r>
      <w:r>
        <w:rPr>
          <w:rFonts w:cs="Times New Roman"/>
          <w:sz w:val="24"/>
          <w:szCs w:val="24"/>
        </w:rPr>
        <w:t xml:space="preserve">eins, which enable faster viral </w:t>
      </w:r>
      <w:r w:rsidRPr="0038763E">
        <w:rPr>
          <w:rFonts w:cs="Times New Roman"/>
          <w:sz w:val="24"/>
          <w:szCs w:val="24"/>
        </w:rPr>
        <w:t>replication. It is clear from our case series that the strains</w:t>
      </w:r>
      <w:r>
        <w:rPr>
          <w:rFonts w:cs="Times New Roman"/>
          <w:sz w:val="24"/>
          <w:szCs w:val="24"/>
        </w:rPr>
        <w:t xml:space="preserve"> A, B.1, and B.1.617 can attain </w:t>
      </w:r>
      <w:r w:rsidRPr="0038763E">
        <w:rPr>
          <w:rFonts w:cs="Times New Roman"/>
          <w:sz w:val="24"/>
          <w:szCs w:val="24"/>
        </w:rPr>
        <w:t>increased virulence culminating in vaccine evasion.</w:t>
      </w:r>
    </w:p>
    <w:sectPr w:rsidR="0038763E" w:rsidRPr="0038763E">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Mangal">
    <w:panose1 w:val="02040503050203030202"/>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43" w:usb2="00000009" w:usb3="00000000" w:csb0="000001FF" w:csb1="00000000"/>
  </w:font>
  <w:font w:name="ArialUnicodeMS">
    <w:altName w:val="Arial Unicode MS"/>
    <w:panose1 w:val="00000000000000000000"/>
    <w:charset w:val="81"/>
    <w:family w:val="auto"/>
    <w:notTrueType/>
    <w:pitch w:val="default"/>
    <w:sig w:usb0="00000000" w:usb1="09060000" w:usb2="00000010" w:usb3="00000000" w:csb0="00080000"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1331B"/>
    <w:rsid w:val="0038763E"/>
    <w:rsid w:val="00683939"/>
    <w:rsid w:val="007A7C07"/>
    <w:rsid w:val="00986646"/>
    <w:rsid w:val="00E1331B"/>
    <w:rsid w:val="00F825CF"/>
  </w:rsids>
  <m:mathPr>
    <m:mathFont m:val="Cambria Math"/>
    <m:brkBin m:val="before"/>
    <m:brkBinSub m:val="--"/>
    <m:smallFrac m:val="0"/>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lang w:val="en-US" w:eastAsia="en-US" w:bidi="hi-IN"/>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lang w:val="en-US" w:eastAsia="en-US" w:bidi="hi-IN"/>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1</Pages>
  <Words>350</Words>
  <Characters>1995</Characters>
  <Application>Microsoft Office Word</Application>
  <DocSecurity>0</DocSecurity>
  <Lines>16</Lines>
  <Paragraphs>4</Paragraphs>
  <ScaleCrop>false</ScaleCrop>
  <Company>Hewlett-Packard</Company>
  <LinksUpToDate>false</LinksUpToDate>
  <CharactersWithSpaces>2341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3</cp:revision>
  <dcterms:created xsi:type="dcterms:W3CDTF">2021-09-16T08:42:00Z</dcterms:created>
  <dcterms:modified xsi:type="dcterms:W3CDTF">2021-09-16T08:50:00Z</dcterms:modified>
</cp:coreProperties>
</file>